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9DC4F" w14:textId="6A3AC2E5" w:rsidR="000913AB" w:rsidRDefault="00652E6F">
      <w:r>
        <w:rPr>
          <w:noProof/>
        </w:rPr>
        <mc:AlternateContent>
          <mc:Choice Requires="wps">
            <w:drawing>
              <wp:anchor distT="0" distB="0" distL="114300" distR="114300" simplePos="0" relativeHeight="251659264" behindDoc="0" locked="0" layoutInCell="1" allowOverlap="1" wp14:anchorId="26F3BB8C" wp14:editId="339163B4">
                <wp:simplePos x="0" y="0"/>
                <wp:positionH relativeFrom="column">
                  <wp:posOffset>322580</wp:posOffset>
                </wp:positionH>
                <wp:positionV relativeFrom="paragraph">
                  <wp:posOffset>432435</wp:posOffset>
                </wp:positionV>
                <wp:extent cx="5416550" cy="381635"/>
                <wp:effectExtent l="0" t="0" r="6350" b="0"/>
                <wp:wrapNone/>
                <wp:docPr id="1991119436" name="Text Box 5"/>
                <wp:cNvGraphicFramePr/>
                <a:graphic xmlns:a="http://schemas.openxmlformats.org/drawingml/2006/main">
                  <a:graphicData uri="http://schemas.microsoft.com/office/word/2010/wordprocessingShape">
                    <wps:wsp>
                      <wps:cNvSpPr txBox="1"/>
                      <wps:spPr>
                        <a:xfrm>
                          <a:off x="0" y="0"/>
                          <a:ext cx="5416550" cy="381635"/>
                        </a:xfrm>
                        <a:prstGeom prst="rect">
                          <a:avLst/>
                        </a:prstGeom>
                        <a:solidFill>
                          <a:schemeClr val="lt1"/>
                        </a:solidFill>
                        <a:ln w="6350">
                          <a:noFill/>
                        </a:ln>
                      </wps:spPr>
                      <wps:txbx>
                        <w:txbxContent>
                          <w:p w14:paraId="512EC744" w14:textId="77777777" w:rsidR="00C3671C" w:rsidRPr="00403104" w:rsidRDefault="00C3671C" w:rsidP="00C3671C">
                            <w:pPr>
                              <w:rPr>
                                <w:rFonts w:ascii="Arial" w:hAnsi="Arial" w:cs="Arial"/>
                              </w:rPr>
                            </w:pPr>
                            <w:r w:rsidRPr="00403104">
                              <w:rPr>
                                <w:rFonts w:ascii="Arial" w:hAnsi="Arial" w:cs="Arial"/>
                                <w:b/>
                                <w:bCs/>
                              </w:rPr>
                              <w:t>Subject:</w:t>
                            </w:r>
                            <w:r w:rsidRPr="00403104">
                              <w:rPr>
                                <w:rFonts w:ascii="Arial" w:hAnsi="Arial" w:cs="Arial"/>
                              </w:rPr>
                              <w:t xml:space="preserve"> Explore your retirement plan savings options</w:t>
                            </w:r>
                          </w:p>
                          <w:p w14:paraId="2B5F3678" w14:textId="77777777" w:rsidR="00C3671C" w:rsidRDefault="00C367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F3BB8C" id="_x0000_t202" coordsize="21600,21600" o:spt="202" path="m,l,21600r21600,l21600,xe">
                <v:stroke joinstyle="miter"/>
                <v:path gradientshapeok="t" o:connecttype="rect"/>
              </v:shapetype>
              <v:shape id="Text Box 5" o:spid="_x0000_s1026" type="#_x0000_t202" style="position:absolute;margin-left:25.4pt;margin-top:34.05pt;width:426.5pt;height:30.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" fillcolor="white [3201]" stroked="f" strokeweight=".5pt">
                <v:textbox>
                  <w:txbxContent>
                    <w:p w14:paraId="512EC744" w14:textId="77777777" w:rsidR="00C3671C" w:rsidRPr="00403104" w:rsidRDefault="00C3671C" w:rsidP="00C3671C">
                      <w:pPr>
                        <w:rPr>
                          <w:rFonts w:ascii="Arial" w:hAnsi="Arial" w:cs="Arial"/>
                        </w:rPr>
                      </w:pPr>
                      <w:r w:rsidRPr="00403104">
                        <w:rPr>
                          <w:rFonts w:ascii="Arial" w:hAnsi="Arial" w:cs="Arial"/>
                          <w:b/>
                          <w:bCs/>
                        </w:rPr>
                        <w:t>Subject:</w:t>
                      </w:r>
                      <w:r w:rsidRPr="00403104">
                        <w:rPr>
                          <w:rFonts w:ascii="Arial" w:hAnsi="Arial" w:cs="Arial"/>
                        </w:rPr>
                        <w:t xml:space="preserve"> Explore your retirement plan savings options</w:t>
                      </w:r>
                    </w:p>
                    <w:p w14:paraId="2B5F3678" w14:textId="77777777" w:rsidR="00C3671C" w:rsidRDefault="00C3671C"/>
                  </w:txbxContent>
                </v:textbox>
              </v:shape>
            </w:pict>
          </mc:Fallback>
        </mc:AlternateContent>
      </w:r>
      <w:r>
        <w:rPr>
          <w:noProof/>
        </w:rPr>
        <mc:AlternateContent>
          <mc:Choice Requires="wps">
            <w:drawing>
              <wp:anchor distT="0" distB="0" distL="114300" distR="114300" simplePos="0" relativeHeight="251667456" behindDoc="1" locked="0" layoutInCell="1" allowOverlap="1" wp14:anchorId="34C33739" wp14:editId="5BE44573">
                <wp:simplePos x="0" y="0"/>
                <wp:positionH relativeFrom="column">
                  <wp:posOffset>0</wp:posOffset>
                </wp:positionH>
                <wp:positionV relativeFrom="paragraph">
                  <wp:posOffset>990600</wp:posOffset>
                </wp:positionV>
                <wp:extent cx="7616825" cy="241300"/>
                <wp:effectExtent l="0" t="0" r="3175" b="0"/>
                <wp:wrapNone/>
                <wp:docPr id="898460658" name="Rectangle 9"/>
                <wp:cNvGraphicFramePr/>
                <a:graphic xmlns:a="http://schemas.openxmlformats.org/drawingml/2006/main">
                  <a:graphicData uri="http://schemas.microsoft.com/office/word/2010/wordprocessingShape">
                    <wps:wsp>
                      <wps:cNvSpPr/>
                      <wps:spPr>
                        <a:xfrm>
                          <a:off x="0" y="0"/>
                          <a:ext cx="7616825" cy="2413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9EAC43" id="Rectangle 9" o:spid="_x0000_s1026" style="position:absolute;margin-left:0;margin-top:78pt;width:599.75pt;height:19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" fillcolor="#f2f2f2 [3052]" stroked="f" strokeweight="1pt"/>
            </w:pict>
          </mc:Fallback>
        </mc:AlternateContent>
      </w:r>
      <w:r w:rsidR="008E1E81">
        <w:rPr>
          <w:noProof/>
        </w:rPr>
        <w:drawing>
          <wp:anchor distT="0" distB="0" distL="114300" distR="114300" simplePos="0" relativeHeight="251663360" behindDoc="0" locked="0" layoutInCell="1" allowOverlap="1" wp14:anchorId="045E4E86" wp14:editId="06FA1998">
            <wp:simplePos x="0" y="0"/>
            <wp:positionH relativeFrom="column">
              <wp:posOffset>372110</wp:posOffset>
            </wp:positionH>
            <wp:positionV relativeFrom="paragraph">
              <wp:posOffset>6342380</wp:posOffset>
            </wp:positionV>
            <wp:extent cx="2451100" cy="508000"/>
            <wp:effectExtent l="0" t="0" r="6350" b="6350"/>
            <wp:wrapNone/>
            <wp:docPr id="557451058" name="Picture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51058" name="Picture 7">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2451100" cy="508000"/>
                    </a:xfrm>
                    <a:prstGeom prst="rect">
                      <a:avLst/>
                    </a:prstGeom>
                  </pic:spPr>
                </pic:pic>
              </a:graphicData>
            </a:graphic>
            <wp14:sizeRelH relativeFrom="page">
              <wp14:pctWidth>0</wp14:pctWidth>
            </wp14:sizeRelH>
            <wp14:sizeRelV relativeFrom="page">
              <wp14:pctHeight>0</wp14:pctHeight>
            </wp14:sizeRelV>
          </wp:anchor>
        </w:drawing>
      </w:r>
      <w:r w:rsidR="008E1E81">
        <w:rPr>
          <w:noProof/>
        </w:rPr>
        <mc:AlternateContent>
          <mc:Choice Requires="wps">
            <w:drawing>
              <wp:anchor distT="0" distB="0" distL="114300" distR="114300" simplePos="0" relativeHeight="251665408" behindDoc="1" locked="0" layoutInCell="1" allowOverlap="1" wp14:anchorId="2C374BEA" wp14:editId="71EACD5A">
                <wp:simplePos x="0" y="0"/>
                <wp:positionH relativeFrom="column">
                  <wp:posOffset>0</wp:posOffset>
                </wp:positionH>
                <wp:positionV relativeFrom="paragraph">
                  <wp:posOffset>10756900</wp:posOffset>
                </wp:positionV>
                <wp:extent cx="7616825" cy="8166100"/>
                <wp:effectExtent l="0" t="0" r="3175" b="0"/>
                <wp:wrapNone/>
                <wp:docPr id="269307147" name="Rectangle 9"/>
                <wp:cNvGraphicFramePr/>
                <a:graphic xmlns:a="http://schemas.openxmlformats.org/drawingml/2006/main">
                  <a:graphicData uri="http://schemas.microsoft.com/office/word/2010/wordprocessingShape">
                    <wps:wsp>
                      <wps:cNvSpPr/>
                      <wps:spPr>
                        <a:xfrm>
                          <a:off x="0" y="0"/>
                          <a:ext cx="7616825" cy="81661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693994" id="Rectangle 9" o:spid="_x0000_s1026" style="position:absolute;margin-left:0;margin-top:847pt;width:599.75pt;height:643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" fillcolor="#f2f2f2 [3052]" stroked="f" strokeweight="1pt"/>
            </w:pict>
          </mc:Fallback>
        </mc:AlternateContent>
      </w:r>
      <w:r w:rsidR="00BF1D48">
        <w:rPr>
          <w:noProof/>
        </w:rPr>
        <mc:AlternateContent>
          <mc:Choice Requires="wps">
            <w:drawing>
              <wp:anchor distT="0" distB="0" distL="114300" distR="114300" simplePos="0" relativeHeight="251664384" behindDoc="0" locked="0" layoutInCell="1" allowOverlap="1" wp14:anchorId="60EE0C10" wp14:editId="47B6FCDE">
                <wp:simplePos x="0" y="0"/>
                <wp:positionH relativeFrom="column">
                  <wp:posOffset>328295</wp:posOffset>
                </wp:positionH>
                <wp:positionV relativeFrom="paragraph">
                  <wp:posOffset>11088370</wp:posOffset>
                </wp:positionV>
                <wp:extent cx="6956385" cy="8368496"/>
                <wp:effectExtent l="0" t="0" r="0" b="0"/>
                <wp:wrapNone/>
                <wp:docPr id="665308980" name="Text Box 8"/>
                <wp:cNvGraphicFramePr/>
                <a:graphic xmlns:a="http://schemas.openxmlformats.org/drawingml/2006/main">
                  <a:graphicData uri="http://schemas.microsoft.com/office/word/2010/wordprocessingShape">
                    <wps:wsp>
                      <wps:cNvSpPr txBox="1"/>
                      <wps:spPr>
                        <a:xfrm>
                          <a:off x="0" y="0"/>
                          <a:ext cx="6956385" cy="8368496"/>
                        </a:xfrm>
                        <a:prstGeom prst="rect">
                          <a:avLst/>
                        </a:prstGeom>
                        <a:noFill/>
                        <a:ln w="6350">
                          <a:noFill/>
                        </a:ln>
                      </wps:spPr>
                      <wps:txbx>
                        <w:txbxContent>
                          <w:p w14:paraId="21603927" w14:textId="723DCC72" w:rsidR="00BF1D48" w:rsidRPr="00403104" w:rsidRDefault="00BF1D48" w:rsidP="00BF1D48">
                            <w:pPr>
                              <w:rPr>
                                <w:rFonts w:ascii="Arial" w:hAnsi="Arial" w:cs="Arial"/>
                              </w:rPr>
                            </w:pPr>
                            <w:hyperlink r:id="rId9" w:tgtFrame="_blank" w:history="1">
                              <w:r w:rsidRPr="00403104">
                                <w:rPr>
                                  <w:rStyle w:val="Hyperlink"/>
                                  <w:rFonts w:ascii="Arial" w:hAnsi="Arial" w:cs="Arial"/>
                                </w:rPr>
                                <w:t>Privacy Policy</w:t>
                              </w:r>
                            </w:hyperlink>
                            <w:r w:rsidRPr="00403104">
                              <w:rPr>
                                <w:rFonts w:ascii="Arial" w:hAnsi="Arial" w:cs="Arial"/>
                              </w:rPr>
                              <w:t xml:space="preserve"> </w:t>
                            </w:r>
                            <w:hyperlink r:id="rId10" w:tgtFrame="_blank" w:history="1">
                              <w:r w:rsidRPr="00403104">
                                <w:rPr>
                                  <w:rStyle w:val="Hyperlink"/>
                                  <w:rFonts w:ascii="Arial" w:hAnsi="Arial" w:cs="Arial"/>
                                </w:rPr>
                                <w:t>Terms of Use</w:t>
                              </w:r>
                            </w:hyperlink>
                            <w:r w:rsidRPr="00403104">
                              <w:rPr>
                                <w:rFonts w:ascii="Arial" w:hAnsi="Arial" w:cs="Arial"/>
                              </w:rPr>
                              <w:br/>
                            </w:r>
                            <w:r w:rsidRPr="00403104">
                              <w:rPr>
                                <w:rFonts w:ascii="Arial" w:hAnsi="Arial" w:cs="Arial"/>
                              </w:rPr>
                              <w:br/>
                              <w:t xml:space="preserve">Investing involves risk, including risk of loss. </w:t>
                            </w:r>
                            <w:r w:rsidRPr="00403104">
                              <w:rPr>
                                <w:rFonts w:ascii="Arial" w:hAnsi="Arial" w:cs="Arial"/>
                              </w:rPr>
                              <w:br/>
                            </w:r>
                            <w:r w:rsidRPr="00403104">
                              <w:rPr>
                                <w:rFonts w:ascii="Arial" w:hAnsi="Arial" w:cs="Arial"/>
                              </w:rPr>
                              <w:br/>
                              <w:t xml:space="preserve">1. No account fees or minimums to open Fidelity retail IRA accounts. Expenses charged by investments (e.g., funds, managed accounts, and certain HSAs), and commissions, interest charges, and other expenses for transactions, may still apply. See </w:t>
                            </w:r>
                            <w:hyperlink r:id="rId11" w:tgtFrame="_blank" w:history="1">
                              <w:r w:rsidRPr="00403104">
                                <w:rPr>
                                  <w:rStyle w:val="Hyperlink"/>
                                  <w:rFonts w:ascii="Arial" w:hAnsi="Arial" w:cs="Arial"/>
                                </w:rPr>
                                <w:t>Fidelity.com/commissions</w:t>
                              </w:r>
                            </w:hyperlink>
                            <w:r w:rsidRPr="00403104">
                              <w:rPr>
                                <w:rFonts w:ascii="Arial" w:hAnsi="Arial" w:cs="Arial"/>
                              </w:rPr>
                              <w:t xml:space="preserve"> </w:t>
                            </w:r>
                            <w:r w:rsidRPr="00403104">
                              <w:rPr>
                                <w:rFonts w:ascii="MS Gothic" w:eastAsia="MS Gothic" w:hAnsi="MS Gothic" w:cs="MS Gothic" w:hint="eastAsia"/>
                              </w:rPr>
                              <w:t> </w:t>
                            </w:r>
                            <w:r w:rsidR="008E1E81">
                              <w:rPr>
                                <w:rFonts w:ascii="MS Gothic" w:eastAsia="MS Gothic" w:hAnsi="MS Gothic" w:cs="MS Gothic"/>
                              </w:rPr>
                              <w:br/>
                            </w:r>
                            <w:r w:rsidRPr="00403104">
                              <w:rPr>
                                <w:rFonts w:ascii="Arial" w:hAnsi="Arial" w:cs="Arial"/>
                              </w:rPr>
                              <w:t>for further details.</w:t>
                            </w:r>
                            <w:r w:rsidRPr="00403104">
                              <w:rPr>
                                <w:rFonts w:ascii="Arial" w:hAnsi="Arial" w:cs="Arial"/>
                              </w:rPr>
                              <w:br/>
                            </w:r>
                            <w:r w:rsidRPr="00403104">
                              <w:rPr>
                                <w:rFonts w:ascii="Arial" w:hAnsi="Arial" w:cs="Arial"/>
                              </w:rPr>
                              <w:br/>
                            </w:r>
                            <w:r w:rsidRPr="00403104">
                              <w:rPr>
                                <w:rFonts w:ascii="Arial" w:hAnsi="Arial" w:cs="Arial"/>
                                <w:b/>
                                <w:bCs/>
                              </w:rPr>
                              <w:t xml:space="preserve">2. $0.00 commission applies to online U.S. equity trades and exchange-traded funds (ETFs) in a Fidelity retail account only for Fidelity Brokerage Services LLC retail clients. Sell orders are subject to an activity assessment fee (historically from $0.01 to $0.03 per $1,000 of principal). Other exclusions and conditions may apply. A limited number of ETFs are subject to a transaction-based service fee of $100. See the full list at </w:t>
                            </w:r>
                            <w:hyperlink r:id="rId12" w:tgtFrame="_blank" w:history="1">
                              <w:r w:rsidRPr="00403104">
                                <w:rPr>
                                  <w:rStyle w:val="Hyperlink"/>
                                  <w:rFonts w:ascii="Arial" w:hAnsi="Arial" w:cs="Arial"/>
                                  <w:b/>
                                  <w:bCs/>
                                </w:rPr>
                                <w:t>Fidelity.com/commissions</w:t>
                              </w:r>
                            </w:hyperlink>
                            <w:r w:rsidRPr="00403104">
                              <w:rPr>
                                <w:rFonts w:ascii="Arial" w:hAnsi="Arial" w:cs="Arial"/>
                                <w:b/>
                                <w:bCs/>
                              </w:rPr>
                              <w:t>. Employee equity compensation transactions and accounts managed by advisors or intermediaries through Fidelity Institutional® are subject to different commission schedules.</w:t>
                            </w:r>
                            <w:r w:rsidRPr="00403104">
                              <w:rPr>
                                <w:rFonts w:ascii="Arial" w:hAnsi="Arial" w:cs="Arial"/>
                              </w:rPr>
                              <w:br/>
                            </w:r>
                            <w:r w:rsidRPr="00403104">
                              <w:rPr>
                                <w:rFonts w:ascii="Arial" w:hAnsi="Arial" w:cs="Arial"/>
                              </w:rPr>
                              <w:br/>
                              <w:t>Fidelity does not provide legal or tax advice. The information herein is general in nature and should not be considered legal or tax advice. Consult an attorney or tax professional regarding your specific situation.</w:t>
                            </w:r>
                            <w:r w:rsidRPr="00403104">
                              <w:rPr>
                                <w:rFonts w:ascii="Arial" w:hAnsi="Arial" w:cs="Arial"/>
                              </w:rPr>
                              <w:br/>
                            </w:r>
                            <w:r w:rsidRPr="00403104">
                              <w:rPr>
                                <w:rFonts w:ascii="Arial" w:hAnsi="Arial" w:cs="Arial"/>
                              </w:rPr>
                              <w:br/>
                              <w:t xml:space="preserve">The third parties mentioned </w:t>
                            </w:r>
                            <w:proofErr w:type="gramStart"/>
                            <w:r w:rsidRPr="00403104">
                              <w:rPr>
                                <w:rFonts w:ascii="Arial" w:hAnsi="Arial" w:cs="Arial"/>
                              </w:rPr>
                              <w:t>herein</w:t>
                            </w:r>
                            <w:proofErr w:type="gramEnd"/>
                            <w:r w:rsidRPr="00403104">
                              <w:rPr>
                                <w:rFonts w:ascii="Arial" w:hAnsi="Arial" w:cs="Arial"/>
                              </w:rPr>
                              <w:t xml:space="preserve"> and Fidelity Investments are independent entities and are not legally affiliated.</w:t>
                            </w:r>
                            <w:r w:rsidRPr="00403104">
                              <w:rPr>
                                <w:rFonts w:ascii="Arial" w:hAnsi="Arial" w:cs="Arial"/>
                              </w:rPr>
                              <w:br/>
                            </w:r>
                            <w:r w:rsidRPr="00403104">
                              <w:rPr>
                                <w:rFonts w:ascii="Arial" w:hAnsi="Arial" w:cs="Arial"/>
                              </w:rPr>
                              <w:br/>
                              <w:t>The information in this email is intended solely for the attention and use of the named addressee. This message or any part thereof must not be disclosed, copied, distributed, or retained by any person without authorization of the addressee.</w:t>
                            </w:r>
                            <w:r w:rsidRPr="00403104">
                              <w:rPr>
                                <w:rFonts w:ascii="Arial" w:hAnsi="Arial" w:cs="Arial"/>
                              </w:rPr>
                              <w:br/>
                            </w:r>
                            <w:r w:rsidRPr="00403104">
                              <w:rPr>
                                <w:rFonts w:ascii="Arial" w:hAnsi="Arial" w:cs="Arial"/>
                              </w:rPr>
                              <w:br/>
                              <w:t xml:space="preserve">Please do not respond to this email. This mailbox is not monitored, and you will not receive a response. </w:t>
                            </w:r>
                            <w:r w:rsidRPr="00403104">
                              <w:rPr>
                                <w:rFonts w:ascii="Arial" w:hAnsi="Arial" w:cs="Arial"/>
                              </w:rPr>
                              <w:br/>
                            </w:r>
                            <w:r w:rsidRPr="00403104">
                              <w:rPr>
                                <w:rFonts w:ascii="Arial" w:hAnsi="Arial" w:cs="Arial"/>
                              </w:rPr>
                              <w:br/>
                              <w:t>The Fidelity Investments logo is a registered service mark of FMR LLC.</w:t>
                            </w:r>
                            <w:r w:rsidRPr="00403104">
                              <w:rPr>
                                <w:rFonts w:ascii="Arial" w:hAnsi="Arial" w:cs="Arial"/>
                              </w:rPr>
                              <w:br/>
                            </w:r>
                            <w:r w:rsidRPr="00403104">
                              <w:rPr>
                                <w:rFonts w:ascii="Arial" w:hAnsi="Arial" w:cs="Arial"/>
                              </w:rPr>
                              <w:br/>
                              <w:t xml:space="preserve">Fidelity Brokerage Services LLC, Member NYSE, </w:t>
                            </w:r>
                            <w:hyperlink r:id="rId13" w:tgtFrame="_blank" w:history="1">
                              <w:r w:rsidRPr="00403104">
                                <w:rPr>
                                  <w:rStyle w:val="Hyperlink"/>
                                  <w:rFonts w:ascii="Arial" w:hAnsi="Arial" w:cs="Arial"/>
                                </w:rPr>
                                <w:t>SIPC</w:t>
                              </w:r>
                            </w:hyperlink>
                            <w:r w:rsidRPr="00403104">
                              <w:rPr>
                                <w:rFonts w:ascii="Arial" w:hAnsi="Arial" w:cs="Arial"/>
                              </w:rPr>
                              <w:t>, 900 Salem Street, Smithfield, RI 02917</w:t>
                            </w:r>
                            <w:r w:rsidRPr="00403104">
                              <w:rPr>
                                <w:rFonts w:ascii="Arial" w:hAnsi="Arial" w:cs="Arial"/>
                              </w:rPr>
                              <w:br/>
                            </w:r>
                            <w:r w:rsidRPr="00403104">
                              <w:rPr>
                                <w:rFonts w:ascii="Arial" w:hAnsi="Arial" w:cs="Arial"/>
                              </w:rPr>
                              <w:br/>
                              <w:t>© 2025 FMR LLC. All rights reserved. </w:t>
                            </w:r>
                            <w:r w:rsidRPr="00403104">
                              <w:rPr>
                                <w:rFonts w:ascii="Arial" w:hAnsi="Arial" w:cs="Arial"/>
                              </w:rPr>
                              <w:br/>
                            </w:r>
                            <w:r w:rsidRPr="00403104">
                              <w:rPr>
                                <w:rFonts w:ascii="Arial" w:hAnsi="Arial" w:cs="Arial"/>
                              </w:rPr>
                              <w:br/>
                              <w:t>1219138.1.0</w:t>
                            </w:r>
                          </w:p>
                          <w:p w14:paraId="691EA2EE" w14:textId="77777777" w:rsidR="00BF1D48" w:rsidRDefault="00BF1D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0EE0C10" id="Text Box 8" o:spid="_x0000_s1027" type="#_x0000_t202" style="position:absolute;margin-left:25.85pt;margin-top:873.1pt;width:547.75pt;height:658.9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19yGQ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" filled="f" stroked="f" strokeweight=".5pt">
                <v:textbox>
                  <w:txbxContent>
                    <w:p w14:paraId="21603927" w14:textId="723DCC72" w:rsidR="00BF1D48" w:rsidRPr="00403104" w:rsidRDefault="00BF1D48" w:rsidP="00BF1D48">
                      <w:pPr>
                        <w:rPr>
                          <w:rFonts w:ascii="Arial" w:hAnsi="Arial" w:cs="Arial"/>
                        </w:rPr>
                      </w:pPr>
                      <w:hyperlink r:id="rId14" w:tgtFrame="_blank" w:history="1">
                        <w:r w:rsidRPr="00403104">
                          <w:rPr>
                            <w:rStyle w:val="Hyperlink"/>
                            <w:rFonts w:ascii="Arial" w:hAnsi="Arial" w:cs="Arial"/>
                          </w:rPr>
                          <w:t>Pr</w:t>
                        </w:r>
                        <w:r w:rsidRPr="00403104">
                          <w:rPr>
                            <w:rStyle w:val="Hyperlink"/>
                            <w:rFonts w:ascii="Arial" w:hAnsi="Arial" w:cs="Arial"/>
                          </w:rPr>
                          <w:t>i</w:t>
                        </w:r>
                        <w:r w:rsidRPr="00403104">
                          <w:rPr>
                            <w:rStyle w:val="Hyperlink"/>
                            <w:rFonts w:ascii="Arial" w:hAnsi="Arial" w:cs="Arial"/>
                          </w:rPr>
                          <w:t>vacy Policy</w:t>
                        </w:r>
                      </w:hyperlink>
                      <w:r w:rsidRPr="00403104">
                        <w:rPr>
                          <w:rFonts w:ascii="Arial" w:hAnsi="Arial" w:cs="Arial"/>
                        </w:rPr>
                        <w:t xml:space="preserve"> </w:t>
                      </w:r>
                      <w:hyperlink r:id="rId15" w:tgtFrame="_blank" w:history="1">
                        <w:r w:rsidRPr="00403104">
                          <w:rPr>
                            <w:rStyle w:val="Hyperlink"/>
                            <w:rFonts w:ascii="Arial" w:hAnsi="Arial" w:cs="Arial"/>
                          </w:rPr>
                          <w:t>Terms of Use</w:t>
                        </w:r>
                      </w:hyperlink>
                      <w:r w:rsidRPr="00403104">
                        <w:rPr>
                          <w:rFonts w:ascii="Arial" w:hAnsi="Arial" w:cs="Arial"/>
                        </w:rPr>
                        <w:br/>
                      </w:r>
                      <w:r w:rsidRPr="00403104">
                        <w:rPr>
                          <w:rFonts w:ascii="Arial" w:hAnsi="Arial" w:cs="Arial"/>
                        </w:rPr>
                        <w:br/>
                        <w:t xml:space="preserve">Investing involves risk, including risk of loss. </w:t>
                      </w:r>
                      <w:r w:rsidRPr="00403104">
                        <w:rPr>
                          <w:rFonts w:ascii="Arial" w:hAnsi="Arial" w:cs="Arial"/>
                        </w:rPr>
                        <w:br/>
                      </w:r>
                      <w:r w:rsidRPr="00403104">
                        <w:rPr>
                          <w:rFonts w:ascii="Arial" w:hAnsi="Arial" w:cs="Arial"/>
                        </w:rPr>
                        <w:br/>
                        <w:t xml:space="preserve">1. No account fees or minimums to open Fidelity retail IRA accounts. Expenses charged by investments (e.g., funds, managed accounts, and certain HSAs), and commissions, interest charges, and other expenses for transactions, may still apply. See </w:t>
                      </w:r>
                      <w:hyperlink r:id="rId16" w:tgtFrame="_blank" w:history="1">
                        <w:r w:rsidRPr="00403104">
                          <w:rPr>
                            <w:rStyle w:val="Hyperlink"/>
                            <w:rFonts w:ascii="Arial" w:hAnsi="Arial" w:cs="Arial"/>
                          </w:rPr>
                          <w:t>Fidelity.com/commissions</w:t>
                        </w:r>
                      </w:hyperlink>
                      <w:r w:rsidRPr="00403104">
                        <w:rPr>
                          <w:rFonts w:ascii="Arial" w:hAnsi="Arial" w:cs="Arial"/>
                        </w:rPr>
                        <w:t xml:space="preserve"> </w:t>
                      </w:r>
                      <w:r w:rsidRPr="00403104">
                        <w:rPr>
                          <w:rFonts w:ascii="MS Gothic" w:eastAsia="MS Gothic" w:hAnsi="MS Gothic" w:cs="MS Gothic" w:hint="eastAsia"/>
                        </w:rPr>
                        <w:t> </w:t>
                      </w:r>
                      <w:r w:rsidR="008E1E81">
                        <w:rPr>
                          <w:rFonts w:ascii="MS Gothic" w:eastAsia="MS Gothic" w:hAnsi="MS Gothic" w:cs="MS Gothic"/>
                        </w:rPr>
                        <w:br/>
                      </w:r>
                      <w:r w:rsidRPr="00403104">
                        <w:rPr>
                          <w:rFonts w:ascii="Arial" w:hAnsi="Arial" w:cs="Arial"/>
                        </w:rPr>
                        <w:t>for further details.</w:t>
                      </w:r>
                      <w:r w:rsidRPr="00403104">
                        <w:rPr>
                          <w:rFonts w:ascii="Arial" w:hAnsi="Arial" w:cs="Arial"/>
                        </w:rPr>
                        <w:br/>
                      </w:r>
                      <w:r w:rsidRPr="00403104">
                        <w:rPr>
                          <w:rFonts w:ascii="Arial" w:hAnsi="Arial" w:cs="Arial"/>
                        </w:rPr>
                        <w:br/>
                      </w:r>
                      <w:r w:rsidRPr="00403104">
                        <w:rPr>
                          <w:rFonts w:ascii="Arial" w:hAnsi="Arial" w:cs="Arial"/>
                          <w:b/>
                          <w:bCs/>
                        </w:rPr>
                        <w:t xml:space="preserve">2. $0.00 commission applies to online U.S. equity trades and exchange-traded funds (ETFs) in a Fidelity retail account only for Fidelity Brokerage Services LLC retail clients. Sell orders are subject to an activity assessment fee (historically from $0.01 to $0.03 per $1,000 of principal). Other exclusions and conditions may apply. A limited number of ETFs are subject to a transaction-based service fee of $100. See the full list at </w:t>
                      </w:r>
                      <w:hyperlink r:id="rId17" w:tgtFrame="_blank" w:history="1">
                        <w:r w:rsidRPr="00403104">
                          <w:rPr>
                            <w:rStyle w:val="Hyperlink"/>
                            <w:rFonts w:ascii="Arial" w:hAnsi="Arial" w:cs="Arial"/>
                            <w:b/>
                            <w:bCs/>
                          </w:rPr>
                          <w:t>Fidelity.com/commissions</w:t>
                        </w:r>
                      </w:hyperlink>
                      <w:r w:rsidRPr="00403104">
                        <w:rPr>
                          <w:rFonts w:ascii="Arial" w:hAnsi="Arial" w:cs="Arial"/>
                          <w:b/>
                          <w:bCs/>
                        </w:rPr>
                        <w:t>. Employee equity compensation transactions and accounts managed by advisors or intermediaries through Fidelity Institutional® are subject to different commission schedules.</w:t>
                      </w:r>
                      <w:r w:rsidRPr="00403104">
                        <w:rPr>
                          <w:rFonts w:ascii="Arial" w:hAnsi="Arial" w:cs="Arial"/>
                        </w:rPr>
                        <w:br/>
                      </w:r>
                      <w:r w:rsidRPr="00403104">
                        <w:rPr>
                          <w:rFonts w:ascii="Arial" w:hAnsi="Arial" w:cs="Arial"/>
                        </w:rPr>
                        <w:br/>
                        <w:t>Fidelity does not provide legal or tax advice. The information herein is general in nature and should not be considered legal or tax advice. Consult an attorney or tax professional regarding your specific situation.</w:t>
                      </w:r>
                      <w:r w:rsidRPr="00403104">
                        <w:rPr>
                          <w:rFonts w:ascii="Arial" w:hAnsi="Arial" w:cs="Arial"/>
                        </w:rPr>
                        <w:br/>
                      </w:r>
                      <w:r w:rsidRPr="00403104">
                        <w:rPr>
                          <w:rFonts w:ascii="Arial" w:hAnsi="Arial" w:cs="Arial"/>
                        </w:rPr>
                        <w:br/>
                        <w:t xml:space="preserve">The third parties mentioned </w:t>
                      </w:r>
                      <w:proofErr w:type="gramStart"/>
                      <w:r w:rsidRPr="00403104">
                        <w:rPr>
                          <w:rFonts w:ascii="Arial" w:hAnsi="Arial" w:cs="Arial"/>
                        </w:rPr>
                        <w:t>herein</w:t>
                      </w:r>
                      <w:proofErr w:type="gramEnd"/>
                      <w:r w:rsidRPr="00403104">
                        <w:rPr>
                          <w:rFonts w:ascii="Arial" w:hAnsi="Arial" w:cs="Arial"/>
                        </w:rPr>
                        <w:t xml:space="preserve"> and Fidelity Investments are independent entities and are not legally affiliated.</w:t>
                      </w:r>
                      <w:r w:rsidRPr="00403104">
                        <w:rPr>
                          <w:rFonts w:ascii="Arial" w:hAnsi="Arial" w:cs="Arial"/>
                        </w:rPr>
                        <w:br/>
                      </w:r>
                      <w:r w:rsidRPr="00403104">
                        <w:rPr>
                          <w:rFonts w:ascii="Arial" w:hAnsi="Arial" w:cs="Arial"/>
                        </w:rPr>
                        <w:br/>
                        <w:t>The information in this email is intended solely for the attention and use of the named addressee. This message or any part thereof must not be disclosed, copied, distributed, or retained by any person without authorization of the addressee.</w:t>
                      </w:r>
                      <w:r w:rsidRPr="00403104">
                        <w:rPr>
                          <w:rFonts w:ascii="Arial" w:hAnsi="Arial" w:cs="Arial"/>
                        </w:rPr>
                        <w:br/>
                      </w:r>
                      <w:r w:rsidRPr="00403104">
                        <w:rPr>
                          <w:rFonts w:ascii="Arial" w:hAnsi="Arial" w:cs="Arial"/>
                        </w:rPr>
                        <w:br/>
                        <w:t xml:space="preserve">Please do not respond to this email. This mailbox is not monitored, and you will not receive a response. </w:t>
                      </w:r>
                      <w:r w:rsidRPr="00403104">
                        <w:rPr>
                          <w:rFonts w:ascii="Arial" w:hAnsi="Arial" w:cs="Arial"/>
                        </w:rPr>
                        <w:br/>
                      </w:r>
                      <w:r w:rsidRPr="00403104">
                        <w:rPr>
                          <w:rFonts w:ascii="Arial" w:hAnsi="Arial" w:cs="Arial"/>
                        </w:rPr>
                        <w:br/>
                        <w:t>The Fidelity Investments logo is a registered service mark of FMR LLC.</w:t>
                      </w:r>
                      <w:r w:rsidRPr="00403104">
                        <w:rPr>
                          <w:rFonts w:ascii="Arial" w:hAnsi="Arial" w:cs="Arial"/>
                        </w:rPr>
                        <w:br/>
                      </w:r>
                      <w:r w:rsidRPr="00403104">
                        <w:rPr>
                          <w:rFonts w:ascii="Arial" w:hAnsi="Arial" w:cs="Arial"/>
                        </w:rPr>
                        <w:br/>
                        <w:t xml:space="preserve">Fidelity Brokerage Services LLC, Member NYSE, </w:t>
                      </w:r>
                      <w:hyperlink r:id="rId18" w:tgtFrame="_blank" w:history="1">
                        <w:r w:rsidRPr="00403104">
                          <w:rPr>
                            <w:rStyle w:val="Hyperlink"/>
                            <w:rFonts w:ascii="Arial" w:hAnsi="Arial" w:cs="Arial"/>
                          </w:rPr>
                          <w:t>SIPC</w:t>
                        </w:r>
                      </w:hyperlink>
                      <w:r w:rsidRPr="00403104">
                        <w:rPr>
                          <w:rFonts w:ascii="Arial" w:hAnsi="Arial" w:cs="Arial"/>
                        </w:rPr>
                        <w:t>, 900 Salem Street, Smithfield, RI 02917</w:t>
                      </w:r>
                      <w:r w:rsidRPr="00403104">
                        <w:rPr>
                          <w:rFonts w:ascii="Arial" w:hAnsi="Arial" w:cs="Arial"/>
                        </w:rPr>
                        <w:br/>
                      </w:r>
                      <w:r w:rsidRPr="00403104">
                        <w:rPr>
                          <w:rFonts w:ascii="Arial" w:hAnsi="Arial" w:cs="Arial"/>
                        </w:rPr>
                        <w:br/>
                        <w:t>© 2025 FMR LLC. All rights reserved. </w:t>
                      </w:r>
                      <w:r w:rsidRPr="00403104">
                        <w:rPr>
                          <w:rFonts w:ascii="Arial" w:hAnsi="Arial" w:cs="Arial"/>
                        </w:rPr>
                        <w:br/>
                      </w:r>
                      <w:r w:rsidRPr="00403104">
                        <w:rPr>
                          <w:rFonts w:ascii="Arial" w:hAnsi="Arial" w:cs="Arial"/>
                        </w:rPr>
                        <w:br/>
                        <w:t>1219138.1.0</w:t>
                      </w:r>
                    </w:p>
                    <w:p w14:paraId="691EA2EE" w14:textId="77777777" w:rsidR="00BF1D48" w:rsidRDefault="00BF1D48"/>
                  </w:txbxContent>
                </v:textbox>
              </v:shape>
            </w:pict>
          </mc:Fallback>
        </mc:AlternateContent>
      </w:r>
      <w:r w:rsidR="000624BE">
        <w:rPr>
          <w:noProof/>
        </w:rPr>
        <mc:AlternateContent>
          <mc:Choice Requires="wps">
            <w:drawing>
              <wp:anchor distT="0" distB="0" distL="114300" distR="114300" simplePos="0" relativeHeight="251662336" behindDoc="0" locked="0" layoutInCell="1" allowOverlap="1" wp14:anchorId="2F4D86F7" wp14:editId="597AC48E">
                <wp:simplePos x="0" y="0"/>
                <wp:positionH relativeFrom="column">
                  <wp:posOffset>306215</wp:posOffset>
                </wp:positionH>
                <wp:positionV relativeFrom="paragraph">
                  <wp:posOffset>5509260</wp:posOffset>
                </wp:positionV>
                <wp:extent cx="6709940" cy="5058137"/>
                <wp:effectExtent l="0" t="0" r="0" b="0"/>
                <wp:wrapNone/>
                <wp:docPr id="1966725520" name="Text Box 5"/>
                <wp:cNvGraphicFramePr/>
                <a:graphic xmlns:a="http://schemas.openxmlformats.org/drawingml/2006/main">
                  <a:graphicData uri="http://schemas.microsoft.com/office/word/2010/wordprocessingShape">
                    <wps:wsp>
                      <wps:cNvSpPr txBox="1"/>
                      <wps:spPr>
                        <a:xfrm>
                          <a:off x="0" y="0"/>
                          <a:ext cx="6709940" cy="5058137"/>
                        </a:xfrm>
                        <a:prstGeom prst="rect">
                          <a:avLst/>
                        </a:prstGeom>
                        <a:solidFill>
                          <a:schemeClr val="lt1"/>
                        </a:solidFill>
                        <a:ln w="6350">
                          <a:noFill/>
                        </a:ln>
                      </wps:spPr>
                      <wps:txbx>
                        <w:txbxContent>
                          <w:p w14:paraId="5BF96655" w14:textId="77777777" w:rsidR="000624BE" w:rsidRDefault="000624BE" w:rsidP="000624BE">
                            <w:pPr>
                              <w:rPr>
                                <w:rFonts w:ascii="Arial" w:hAnsi="Arial" w:cs="Arial"/>
                                <w:sz w:val="32"/>
                                <w:szCs w:val="32"/>
                              </w:rPr>
                            </w:pPr>
                            <w:r w:rsidRPr="008E1E81">
                              <w:rPr>
                                <w:rFonts w:ascii="Arial" w:hAnsi="Arial" w:cs="Arial"/>
                                <w:color w:val="D9117E"/>
                                <w:sz w:val="32"/>
                                <w:szCs w:val="32"/>
                              </w:rPr>
                              <w:t>&lt;Company Name&gt;</w:t>
                            </w:r>
                            <w:r w:rsidRPr="000624BE">
                              <w:rPr>
                                <w:rFonts w:ascii="Arial" w:hAnsi="Arial" w:cs="Arial"/>
                                <w:sz w:val="32"/>
                                <w:szCs w:val="32"/>
                              </w:rPr>
                              <w:t xml:space="preserve"> has teamed with Fidelity to offer retirement plans and guidance designed for self-employed people like you.</w:t>
                            </w:r>
                            <w:r w:rsidRPr="000624BE">
                              <w:rPr>
                                <w:rFonts w:ascii="Arial" w:hAnsi="Arial" w:cs="Arial"/>
                                <w:sz w:val="32"/>
                                <w:szCs w:val="32"/>
                              </w:rPr>
                              <w:br/>
                            </w:r>
                          </w:p>
                          <w:p w14:paraId="32CB2204" w14:textId="77777777" w:rsidR="000624BE" w:rsidRDefault="000624BE" w:rsidP="000624BE">
                            <w:pPr>
                              <w:rPr>
                                <w:rFonts w:ascii="Arial" w:hAnsi="Arial" w:cs="Arial"/>
                                <w:sz w:val="32"/>
                                <w:szCs w:val="32"/>
                              </w:rPr>
                            </w:pPr>
                          </w:p>
                          <w:p w14:paraId="2C588CA6" w14:textId="05BA7A79" w:rsidR="000624BE" w:rsidRDefault="000624BE" w:rsidP="000624BE">
                            <w:pPr>
                              <w:rPr>
                                <w:rFonts w:ascii="Arial" w:hAnsi="Arial" w:cs="Arial"/>
                                <w:sz w:val="32"/>
                                <w:szCs w:val="32"/>
                              </w:rPr>
                            </w:pPr>
                            <w:r w:rsidRPr="000624BE">
                              <w:rPr>
                                <w:rFonts w:ascii="Arial" w:hAnsi="Arial" w:cs="Arial"/>
                                <w:sz w:val="32"/>
                                <w:szCs w:val="32"/>
                              </w:rPr>
                              <w:br/>
                              <w:t xml:space="preserve">As a freelancer or 1099 worker, you can take advantage of higher annual contribution limits and use a retirement savings plan that fits </w:t>
                            </w:r>
                            <w:r w:rsidRPr="000624BE">
                              <w:rPr>
                                <w:rFonts w:ascii="MS Gothic" w:eastAsia="MS Gothic" w:hAnsi="MS Gothic" w:cs="MS Gothic" w:hint="eastAsia"/>
                                <w:sz w:val="32"/>
                                <w:szCs w:val="32"/>
                              </w:rPr>
                              <w:t> </w:t>
                            </w:r>
                            <w:r w:rsidRPr="000624BE">
                              <w:rPr>
                                <w:rFonts w:ascii="Arial" w:hAnsi="Arial" w:cs="Arial"/>
                                <w:sz w:val="32"/>
                                <w:szCs w:val="32"/>
                              </w:rPr>
                              <w:t>your situation. Fidelity offers a choice of plans and the benefits of: </w:t>
                            </w:r>
                          </w:p>
                          <w:p w14:paraId="362DBBCA" w14:textId="77777777" w:rsidR="00CA0F5A" w:rsidRPr="000624BE" w:rsidRDefault="00CA0F5A" w:rsidP="00CA0F5A">
                            <w:pPr>
                              <w:spacing w:line="120" w:lineRule="exact"/>
                              <w:rPr>
                                <w:rFonts w:ascii="Arial" w:hAnsi="Arial" w:cs="Arial"/>
                                <w:sz w:val="32"/>
                                <w:szCs w:val="32"/>
                              </w:rPr>
                            </w:pPr>
                          </w:p>
                          <w:p w14:paraId="5C188AAE" w14:textId="77777777" w:rsidR="000624BE" w:rsidRPr="000624BE" w:rsidRDefault="000624BE" w:rsidP="000624BE">
                            <w:pPr>
                              <w:numPr>
                                <w:ilvl w:val="0"/>
                                <w:numId w:val="1"/>
                              </w:numPr>
                              <w:rPr>
                                <w:rFonts w:ascii="Arial" w:hAnsi="Arial" w:cs="Arial"/>
                                <w:sz w:val="32"/>
                                <w:szCs w:val="32"/>
                              </w:rPr>
                            </w:pPr>
                            <w:r w:rsidRPr="000624BE">
                              <w:rPr>
                                <w:rFonts w:ascii="Arial" w:hAnsi="Arial" w:cs="Arial"/>
                                <w:b/>
                                <w:bCs/>
                                <w:sz w:val="32"/>
                                <w:szCs w:val="32"/>
                              </w:rPr>
                              <w:t>Tax advantages</w:t>
                            </w:r>
                            <w:r w:rsidRPr="000624BE">
                              <w:rPr>
                                <w:rFonts w:ascii="Arial" w:hAnsi="Arial" w:cs="Arial"/>
                                <w:sz w:val="32"/>
                                <w:szCs w:val="32"/>
                              </w:rPr>
                              <w:t xml:space="preserve"> that may reduce your taxable income</w:t>
                            </w:r>
                          </w:p>
                          <w:p w14:paraId="348D0EE7" w14:textId="77777777" w:rsidR="000624BE" w:rsidRPr="000624BE" w:rsidRDefault="000624BE" w:rsidP="000624BE">
                            <w:pPr>
                              <w:numPr>
                                <w:ilvl w:val="0"/>
                                <w:numId w:val="1"/>
                              </w:numPr>
                              <w:rPr>
                                <w:rFonts w:ascii="Arial" w:hAnsi="Arial" w:cs="Arial"/>
                                <w:sz w:val="32"/>
                                <w:szCs w:val="32"/>
                              </w:rPr>
                            </w:pPr>
                            <w:r w:rsidRPr="000624BE">
                              <w:rPr>
                                <w:rFonts w:ascii="Arial" w:hAnsi="Arial" w:cs="Arial"/>
                                <w:b/>
                                <w:bCs/>
                                <w:sz w:val="32"/>
                                <w:szCs w:val="32"/>
                              </w:rPr>
                              <w:t>Flexibility</w:t>
                            </w:r>
                            <w:r w:rsidRPr="000624BE">
                              <w:rPr>
                                <w:rFonts w:ascii="Arial" w:hAnsi="Arial" w:cs="Arial"/>
                                <w:sz w:val="32"/>
                                <w:szCs w:val="32"/>
                              </w:rPr>
                              <w:t xml:space="preserve"> to contribute only what you can each year</w:t>
                            </w:r>
                          </w:p>
                          <w:p w14:paraId="228177A8" w14:textId="5EF9D035" w:rsidR="000624BE" w:rsidRPr="000624BE" w:rsidRDefault="000624BE" w:rsidP="000624BE">
                            <w:pPr>
                              <w:numPr>
                                <w:ilvl w:val="0"/>
                                <w:numId w:val="1"/>
                              </w:numPr>
                              <w:rPr>
                                <w:rFonts w:ascii="Arial" w:hAnsi="Arial" w:cs="Arial"/>
                                <w:sz w:val="32"/>
                                <w:szCs w:val="32"/>
                              </w:rPr>
                            </w:pPr>
                            <w:r w:rsidRPr="000624BE">
                              <w:rPr>
                                <w:rFonts w:ascii="Arial" w:hAnsi="Arial" w:cs="Arial"/>
                                <w:b/>
                                <w:bCs/>
                                <w:sz w:val="32"/>
                                <w:szCs w:val="32"/>
                              </w:rPr>
                              <w:t xml:space="preserve">No account fees </w:t>
                            </w:r>
                            <w:r w:rsidRPr="000624BE">
                              <w:rPr>
                                <w:rFonts w:ascii="Arial" w:hAnsi="Arial" w:cs="Arial"/>
                                <w:sz w:val="32"/>
                                <w:szCs w:val="32"/>
                              </w:rPr>
                              <w:t>and no minimum to open an account,</w:t>
                            </w:r>
                            <w:r w:rsidRPr="000624BE">
                              <w:rPr>
                                <w:rFonts w:ascii="Arial" w:hAnsi="Arial" w:cs="Arial"/>
                                <w:sz w:val="32"/>
                                <w:szCs w:val="32"/>
                                <w:vertAlign w:val="superscript"/>
                              </w:rPr>
                              <w:t>1</w:t>
                            </w:r>
                            <w:r w:rsidRPr="000624BE">
                              <w:rPr>
                                <w:rFonts w:ascii="Arial" w:hAnsi="Arial" w:cs="Arial"/>
                                <w:sz w:val="32"/>
                                <w:szCs w:val="32"/>
                              </w:rPr>
                              <w:t xml:space="preserve"> </w:t>
                            </w:r>
                            <w:r>
                              <w:rPr>
                                <w:rFonts w:ascii="MS Gothic" w:eastAsia="MS Gothic" w:hAnsi="MS Gothic" w:cs="MS Gothic"/>
                                <w:sz w:val="32"/>
                                <w:szCs w:val="32"/>
                              </w:rPr>
                              <w:br/>
                            </w:r>
                            <w:r w:rsidRPr="000624BE">
                              <w:rPr>
                                <w:rFonts w:ascii="Arial" w:hAnsi="Arial" w:cs="Arial"/>
                                <w:sz w:val="32"/>
                                <w:szCs w:val="32"/>
                              </w:rPr>
                              <w:t>$0 commission for online US stock and ETF trades</w:t>
                            </w:r>
                            <w:r w:rsidRPr="00CA0F5A">
                              <w:rPr>
                                <w:rFonts w:ascii="Arial" w:hAnsi="Arial" w:cs="Arial"/>
                                <w:sz w:val="32"/>
                                <w:szCs w:val="32"/>
                                <w:vertAlign w:val="superscript"/>
                              </w:rPr>
                              <w:t>2</w:t>
                            </w:r>
                          </w:p>
                          <w:p w14:paraId="5BD8234C" w14:textId="77777777" w:rsidR="000624BE" w:rsidRPr="000624BE" w:rsidRDefault="000624BE" w:rsidP="00BF1D48">
                            <w:pPr>
                              <w:rPr>
                                <w:rFonts w:ascii="Arial" w:hAnsi="Arial" w:cs="Arial"/>
                                <w:sz w:val="32"/>
                                <w:szCs w:val="32"/>
                              </w:rPr>
                            </w:pPr>
                            <w:r w:rsidRPr="000624BE">
                              <w:rPr>
                                <w:rFonts w:ascii="Arial" w:hAnsi="Arial" w:cs="Arial"/>
                                <w:sz w:val="32"/>
                                <w:szCs w:val="32"/>
                              </w:rPr>
                              <w:br/>
                              <w:t xml:space="preserve">Learn more about </w:t>
                            </w:r>
                            <w:hyperlink r:id="rId19" w:tgtFrame="_blank" w:history="1">
                              <w:r w:rsidRPr="000624BE">
                                <w:rPr>
                                  <w:rStyle w:val="Hyperlink"/>
                                  <w:rFonts w:ascii="Arial" w:hAnsi="Arial" w:cs="Arial"/>
                                  <w:sz w:val="32"/>
                                  <w:szCs w:val="32"/>
                                </w:rPr>
                                <w:t>self-employed retirement plans</w:t>
                              </w:r>
                            </w:hyperlink>
                            <w:r w:rsidRPr="000624BE">
                              <w:rPr>
                                <w:rFonts w:ascii="Arial" w:hAnsi="Arial" w:cs="Arial"/>
                                <w:sz w:val="32"/>
                                <w:szCs w:val="32"/>
                              </w:rPr>
                              <w:t xml:space="preserve"> or </w:t>
                            </w:r>
                            <w:hyperlink r:id="rId20" w:tgtFrame="_blank" w:history="1">
                              <w:r w:rsidRPr="000624BE">
                                <w:rPr>
                                  <w:rStyle w:val="Hyperlink"/>
                                  <w:rFonts w:ascii="Arial" w:hAnsi="Arial" w:cs="Arial"/>
                                  <w:sz w:val="32"/>
                                  <w:szCs w:val="32"/>
                                </w:rPr>
                                <w:t>take a 5-minute quiz</w:t>
                              </w:r>
                            </w:hyperlink>
                            <w:r w:rsidRPr="000624BE">
                              <w:rPr>
                                <w:rFonts w:ascii="Arial" w:hAnsi="Arial" w:cs="Arial"/>
                                <w:sz w:val="32"/>
                                <w:szCs w:val="32"/>
                              </w:rPr>
                              <w:t xml:space="preserve"> to find one that may be right for you.</w:t>
                            </w:r>
                          </w:p>
                          <w:p w14:paraId="6152F395" w14:textId="77777777" w:rsidR="000624BE" w:rsidRPr="000624BE" w:rsidRDefault="000624BE" w:rsidP="00BF1D48">
                            <w:pPr>
                              <w:rPr>
                                <w:rFonts w:ascii="Arial" w:hAnsi="Arial" w:cs="Arial"/>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4D86F7" id="_x0000_s1028" type="#_x0000_t202" style="position:absolute;margin-left:24.1pt;margin-top:433.8pt;width:528.35pt;height:398.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" fillcolor="white [3201]" stroked="f" strokeweight=".5pt">
                <v:textbox>
                  <w:txbxContent>
                    <w:p w14:paraId="5BF96655" w14:textId="77777777" w:rsidR="000624BE" w:rsidRDefault="000624BE" w:rsidP="000624BE">
                      <w:pPr>
                        <w:rPr>
                          <w:rFonts w:ascii="Arial" w:hAnsi="Arial" w:cs="Arial"/>
                          <w:sz w:val="32"/>
                          <w:szCs w:val="32"/>
                        </w:rPr>
                      </w:pPr>
                      <w:r w:rsidRPr="008E1E81">
                        <w:rPr>
                          <w:rFonts w:ascii="Arial" w:hAnsi="Arial" w:cs="Arial"/>
                          <w:color w:val="D9117E"/>
                          <w:sz w:val="32"/>
                          <w:szCs w:val="32"/>
                        </w:rPr>
                        <w:t>&lt;Company Name&gt;</w:t>
                      </w:r>
                      <w:r w:rsidRPr="000624BE">
                        <w:rPr>
                          <w:rFonts w:ascii="Arial" w:hAnsi="Arial" w:cs="Arial"/>
                          <w:sz w:val="32"/>
                          <w:szCs w:val="32"/>
                        </w:rPr>
                        <w:t xml:space="preserve"> has teamed with Fidelity to offer retirement plans and guidance designed for self-employed people like you.</w:t>
                      </w:r>
                      <w:r w:rsidRPr="000624BE">
                        <w:rPr>
                          <w:rFonts w:ascii="Arial" w:hAnsi="Arial" w:cs="Arial"/>
                          <w:sz w:val="32"/>
                          <w:szCs w:val="32"/>
                        </w:rPr>
                        <w:br/>
                      </w:r>
                    </w:p>
                    <w:p w14:paraId="32CB2204" w14:textId="77777777" w:rsidR="000624BE" w:rsidRDefault="000624BE" w:rsidP="000624BE">
                      <w:pPr>
                        <w:rPr>
                          <w:rFonts w:ascii="Arial" w:hAnsi="Arial" w:cs="Arial"/>
                          <w:sz w:val="32"/>
                          <w:szCs w:val="32"/>
                        </w:rPr>
                      </w:pPr>
                    </w:p>
                    <w:p w14:paraId="2C588CA6" w14:textId="05BA7A79" w:rsidR="000624BE" w:rsidRDefault="000624BE" w:rsidP="000624BE">
                      <w:pPr>
                        <w:rPr>
                          <w:rFonts w:ascii="Arial" w:hAnsi="Arial" w:cs="Arial"/>
                          <w:sz w:val="32"/>
                          <w:szCs w:val="32"/>
                        </w:rPr>
                      </w:pPr>
                      <w:r w:rsidRPr="000624BE">
                        <w:rPr>
                          <w:rFonts w:ascii="Arial" w:hAnsi="Arial" w:cs="Arial"/>
                          <w:sz w:val="32"/>
                          <w:szCs w:val="32"/>
                        </w:rPr>
                        <w:br/>
                        <w:t xml:space="preserve">As a freelancer or 1099 worker, you can take advantage of higher annual contribution limits and use a retirement savings plan that fits </w:t>
                      </w:r>
                      <w:r w:rsidRPr="000624BE">
                        <w:rPr>
                          <w:rFonts w:ascii="MS Gothic" w:eastAsia="MS Gothic" w:hAnsi="MS Gothic" w:cs="MS Gothic" w:hint="eastAsia"/>
                          <w:sz w:val="32"/>
                          <w:szCs w:val="32"/>
                        </w:rPr>
                        <w:t> </w:t>
                      </w:r>
                      <w:r w:rsidRPr="000624BE">
                        <w:rPr>
                          <w:rFonts w:ascii="Arial" w:hAnsi="Arial" w:cs="Arial"/>
                          <w:sz w:val="32"/>
                          <w:szCs w:val="32"/>
                        </w:rPr>
                        <w:t>your situation. Fidelity offers a choice of plans and the benefits of: </w:t>
                      </w:r>
                    </w:p>
                    <w:p w14:paraId="362DBBCA" w14:textId="77777777" w:rsidR="00CA0F5A" w:rsidRPr="000624BE" w:rsidRDefault="00CA0F5A" w:rsidP="00CA0F5A">
                      <w:pPr>
                        <w:spacing w:line="120" w:lineRule="exact"/>
                        <w:rPr>
                          <w:rFonts w:ascii="Arial" w:hAnsi="Arial" w:cs="Arial"/>
                          <w:sz w:val="32"/>
                          <w:szCs w:val="32"/>
                        </w:rPr>
                      </w:pPr>
                    </w:p>
                    <w:p w14:paraId="5C188AAE" w14:textId="77777777" w:rsidR="000624BE" w:rsidRPr="000624BE" w:rsidRDefault="000624BE" w:rsidP="000624BE">
                      <w:pPr>
                        <w:numPr>
                          <w:ilvl w:val="0"/>
                          <w:numId w:val="1"/>
                        </w:numPr>
                        <w:rPr>
                          <w:rFonts w:ascii="Arial" w:hAnsi="Arial" w:cs="Arial"/>
                          <w:sz w:val="32"/>
                          <w:szCs w:val="32"/>
                        </w:rPr>
                      </w:pPr>
                      <w:r w:rsidRPr="000624BE">
                        <w:rPr>
                          <w:rFonts w:ascii="Arial" w:hAnsi="Arial" w:cs="Arial"/>
                          <w:b/>
                          <w:bCs/>
                          <w:sz w:val="32"/>
                          <w:szCs w:val="32"/>
                        </w:rPr>
                        <w:t>Tax advantages</w:t>
                      </w:r>
                      <w:r w:rsidRPr="000624BE">
                        <w:rPr>
                          <w:rFonts w:ascii="Arial" w:hAnsi="Arial" w:cs="Arial"/>
                          <w:sz w:val="32"/>
                          <w:szCs w:val="32"/>
                        </w:rPr>
                        <w:t xml:space="preserve"> that may reduce your taxable income</w:t>
                      </w:r>
                    </w:p>
                    <w:p w14:paraId="348D0EE7" w14:textId="77777777" w:rsidR="000624BE" w:rsidRPr="000624BE" w:rsidRDefault="000624BE" w:rsidP="000624BE">
                      <w:pPr>
                        <w:numPr>
                          <w:ilvl w:val="0"/>
                          <w:numId w:val="1"/>
                        </w:numPr>
                        <w:rPr>
                          <w:rFonts w:ascii="Arial" w:hAnsi="Arial" w:cs="Arial"/>
                          <w:sz w:val="32"/>
                          <w:szCs w:val="32"/>
                        </w:rPr>
                      </w:pPr>
                      <w:r w:rsidRPr="000624BE">
                        <w:rPr>
                          <w:rFonts w:ascii="Arial" w:hAnsi="Arial" w:cs="Arial"/>
                          <w:b/>
                          <w:bCs/>
                          <w:sz w:val="32"/>
                          <w:szCs w:val="32"/>
                        </w:rPr>
                        <w:t>Flexibility</w:t>
                      </w:r>
                      <w:r w:rsidRPr="000624BE">
                        <w:rPr>
                          <w:rFonts w:ascii="Arial" w:hAnsi="Arial" w:cs="Arial"/>
                          <w:sz w:val="32"/>
                          <w:szCs w:val="32"/>
                        </w:rPr>
                        <w:t xml:space="preserve"> to contribute only what you can each year</w:t>
                      </w:r>
                    </w:p>
                    <w:p w14:paraId="228177A8" w14:textId="5EF9D035" w:rsidR="000624BE" w:rsidRPr="000624BE" w:rsidRDefault="000624BE" w:rsidP="000624BE">
                      <w:pPr>
                        <w:numPr>
                          <w:ilvl w:val="0"/>
                          <w:numId w:val="1"/>
                        </w:numPr>
                        <w:rPr>
                          <w:rFonts w:ascii="Arial" w:hAnsi="Arial" w:cs="Arial"/>
                          <w:sz w:val="32"/>
                          <w:szCs w:val="32"/>
                        </w:rPr>
                      </w:pPr>
                      <w:r w:rsidRPr="000624BE">
                        <w:rPr>
                          <w:rFonts w:ascii="Arial" w:hAnsi="Arial" w:cs="Arial"/>
                          <w:b/>
                          <w:bCs/>
                          <w:sz w:val="32"/>
                          <w:szCs w:val="32"/>
                        </w:rPr>
                        <w:t xml:space="preserve">No account fees </w:t>
                      </w:r>
                      <w:r w:rsidRPr="000624BE">
                        <w:rPr>
                          <w:rFonts w:ascii="Arial" w:hAnsi="Arial" w:cs="Arial"/>
                          <w:sz w:val="32"/>
                          <w:szCs w:val="32"/>
                        </w:rPr>
                        <w:t>and no minimum to open an account,</w:t>
                      </w:r>
                      <w:r w:rsidRPr="000624BE">
                        <w:rPr>
                          <w:rFonts w:ascii="Arial" w:hAnsi="Arial" w:cs="Arial"/>
                          <w:sz w:val="32"/>
                          <w:szCs w:val="32"/>
                          <w:vertAlign w:val="superscript"/>
                        </w:rPr>
                        <w:t>1</w:t>
                      </w:r>
                      <w:r w:rsidRPr="000624BE">
                        <w:rPr>
                          <w:rFonts w:ascii="Arial" w:hAnsi="Arial" w:cs="Arial"/>
                          <w:sz w:val="32"/>
                          <w:szCs w:val="32"/>
                        </w:rPr>
                        <w:t xml:space="preserve"> </w:t>
                      </w:r>
                      <w:r>
                        <w:rPr>
                          <w:rFonts w:ascii="MS Gothic" w:eastAsia="MS Gothic" w:hAnsi="MS Gothic" w:cs="MS Gothic"/>
                          <w:sz w:val="32"/>
                          <w:szCs w:val="32"/>
                        </w:rPr>
                        <w:br/>
                      </w:r>
                      <w:r w:rsidRPr="000624BE">
                        <w:rPr>
                          <w:rFonts w:ascii="Arial" w:hAnsi="Arial" w:cs="Arial"/>
                          <w:sz w:val="32"/>
                          <w:szCs w:val="32"/>
                        </w:rPr>
                        <w:t>$0 commission for online US stock and ETF trades</w:t>
                      </w:r>
                      <w:r w:rsidRPr="00CA0F5A">
                        <w:rPr>
                          <w:rFonts w:ascii="Arial" w:hAnsi="Arial" w:cs="Arial"/>
                          <w:sz w:val="32"/>
                          <w:szCs w:val="32"/>
                          <w:vertAlign w:val="superscript"/>
                        </w:rPr>
                        <w:t>2</w:t>
                      </w:r>
                    </w:p>
                    <w:p w14:paraId="5BD8234C" w14:textId="77777777" w:rsidR="000624BE" w:rsidRPr="000624BE" w:rsidRDefault="000624BE" w:rsidP="00BF1D48">
                      <w:pPr>
                        <w:rPr>
                          <w:rFonts w:ascii="Arial" w:hAnsi="Arial" w:cs="Arial"/>
                          <w:sz w:val="32"/>
                          <w:szCs w:val="32"/>
                        </w:rPr>
                      </w:pPr>
                      <w:r w:rsidRPr="000624BE">
                        <w:rPr>
                          <w:rFonts w:ascii="Arial" w:hAnsi="Arial" w:cs="Arial"/>
                          <w:sz w:val="32"/>
                          <w:szCs w:val="32"/>
                        </w:rPr>
                        <w:br/>
                        <w:t xml:space="preserve">Learn more about </w:t>
                      </w:r>
                      <w:hyperlink r:id="rId21" w:tgtFrame="_blank" w:history="1">
                        <w:r w:rsidRPr="000624BE">
                          <w:rPr>
                            <w:rStyle w:val="Hyperlink"/>
                            <w:rFonts w:ascii="Arial" w:hAnsi="Arial" w:cs="Arial"/>
                            <w:sz w:val="32"/>
                            <w:szCs w:val="32"/>
                          </w:rPr>
                          <w:t>self-employed retirement plans</w:t>
                        </w:r>
                      </w:hyperlink>
                      <w:r w:rsidRPr="000624BE">
                        <w:rPr>
                          <w:rFonts w:ascii="Arial" w:hAnsi="Arial" w:cs="Arial"/>
                          <w:sz w:val="32"/>
                          <w:szCs w:val="32"/>
                        </w:rPr>
                        <w:t xml:space="preserve"> or </w:t>
                      </w:r>
                      <w:hyperlink r:id="rId22" w:tgtFrame="_blank" w:history="1">
                        <w:r w:rsidRPr="000624BE">
                          <w:rPr>
                            <w:rStyle w:val="Hyperlink"/>
                            <w:rFonts w:ascii="Arial" w:hAnsi="Arial" w:cs="Arial"/>
                            <w:sz w:val="32"/>
                            <w:szCs w:val="32"/>
                          </w:rPr>
                          <w:t>take a 5-minute quiz</w:t>
                        </w:r>
                      </w:hyperlink>
                      <w:r w:rsidRPr="000624BE">
                        <w:rPr>
                          <w:rFonts w:ascii="Arial" w:hAnsi="Arial" w:cs="Arial"/>
                          <w:sz w:val="32"/>
                          <w:szCs w:val="32"/>
                        </w:rPr>
                        <w:t xml:space="preserve"> to find one that may be right for you.</w:t>
                      </w:r>
                    </w:p>
                    <w:p w14:paraId="6152F395" w14:textId="77777777" w:rsidR="000624BE" w:rsidRPr="000624BE" w:rsidRDefault="000624BE" w:rsidP="00BF1D48">
                      <w:pPr>
                        <w:rPr>
                          <w:rFonts w:ascii="Arial" w:hAnsi="Arial" w:cs="Arial"/>
                          <w:sz w:val="32"/>
                          <w:szCs w:val="32"/>
                        </w:rPr>
                      </w:pPr>
                    </w:p>
                  </w:txbxContent>
                </v:textbox>
              </v:shape>
            </w:pict>
          </mc:Fallback>
        </mc:AlternateContent>
      </w:r>
      <w:r w:rsidR="00C3671C">
        <w:rPr>
          <w:noProof/>
        </w:rPr>
        <w:drawing>
          <wp:anchor distT="0" distB="0" distL="114300" distR="114300" simplePos="0" relativeHeight="251661312" behindDoc="1" locked="0" layoutInCell="1" allowOverlap="1" wp14:anchorId="3B764EE1" wp14:editId="290E74EB">
            <wp:simplePos x="0" y="0"/>
            <wp:positionH relativeFrom="column">
              <wp:posOffset>5359079</wp:posOffset>
            </wp:positionH>
            <wp:positionV relativeFrom="paragraph">
              <wp:posOffset>1425133</wp:posOffset>
            </wp:positionV>
            <wp:extent cx="1790700" cy="533400"/>
            <wp:effectExtent l="0" t="0" r="0" b="0"/>
            <wp:wrapNone/>
            <wp:docPr id="12712217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221728" name="Picture 1271221728"/>
                    <pic:cNvPicPr/>
                  </pic:nvPicPr>
                  <pic:blipFill>
                    <a:blip r:embed="rId23">
                      <a:extLst>
                        <a:ext uri="{28A0092B-C50C-407E-A947-70E740481C1C}">
                          <a14:useLocalDpi xmlns:a14="http://schemas.microsoft.com/office/drawing/2010/main" val="0"/>
                        </a:ext>
                      </a:extLst>
                    </a:blip>
                    <a:stretch>
                      <a:fillRect/>
                    </a:stretch>
                  </pic:blipFill>
                  <pic:spPr>
                    <a:xfrm>
                      <a:off x="0" y="0"/>
                      <a:ext cx="1790700" cy="533400"/>
                    </a:xfrm>
                    <a:prstGeom prst="rect">
                      <a:avLst/>
                    </a:prstGeom>
                  </pic:spPr>
                </pic:pic>
              </a:graphicData>
            </a:graphic>
            <wp14:sizeRelH relativeFrom="page">
              <wp14:pctWidth>0</wp14:pctWidth>
            </wp14:sizeRelH>
            <wp14:sizeRelV relativeFrom="page">
              <wp14:pctHeight>0</wp14:pctHeight>
            </wp14:sizeRelV>
          </wp:anchor>
        </w:drawing>
      </w:r>
      <w:r w:rsidR="00C3671C">
        <w:rPr>
          <w:noProof/>
        </w:rPr>
        <w:drawing>
          <wp:anchor distT="0" distB="0" distL="114300" distR="114300" simplePos="0" relativeHeight="251660288" behindDoc="1" locked="0" layoutInCell="1" allowOverlap="1" wp14:anchorId="1726EF83" wp14:editId="6B53CADE">
            <wp:simplePos x="0" y="0"/>
            <wp:positionH relativeFrom="column">
              <wp:posOffset>439420</wp:posOffset>
            </wp:positionH>
            <wp:positionV relativeFrom="paragraph">
              <wp:posOffset>1538460</wp:posOffset>
            </wp:positionV>
            <wp:extent cx="1803400" cy="419100"/>
            <wp:effectExtent l="0" t="0" r="0" b="0"/>
            <wp:wrapNone/>
            <wp:docPr id="11047456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45629" name="Picture 1104745629"/>
                    <pic:cNvPicPr/>
                  </pic:nvPicPr>
                  <pic:blipFill>
                    <a:blip r:embed="rId24">
                      <a:extLst>
                        <a:ext uri="{28A0092B-C50C-407E-A947-70E740481C1C}">
                          <a14:useLocalDpi xmlns:a14="http://schemas.microsoft.com/office/drawing/2010/main" val="0"/>
                        </a:ext>
                      </a:extLst>
                    </a:blip>
                    <a:stretch>
                      <a:fillRect/>
                    </a:stretch>
                  </pic:blipFill>
                  <pic:spPr>
                    <a:xfrm>
                      <a:off x="0" y="0"/>
                      <a:ext cx="1803400" cy="419100"/>
                    </a:xfrm>
                    <a:prstGeom prst="rect">
                      <a:avLst/>
                    </a:prstGeom>
                  </pic:spPr>
                </pic:pic>
              </a:graphicData>
            </a:graphic>
            <wp14:sizeRelH relativeFrom="page">
              <wp14:pctWidth>0</wp14:pctWidth>
            </wp14:sizeRelH>
            <wp14:sizeRelV relativeFrom="page">
              <wp14:pctHeight>0</wp14:pctHeight>
            </wp14:sizeRelV>
          </wp:anchor>
        </w:drawing>
      </w:r>
      <w:r w:rsidR="00275899">
        <w:rPr>
          <w:noProof/>
        </w:rPr>
        <w:drawing>
          <wp:anchor distT="0" distB="0" distL="114300" distR="114300" simplePos="0" relativeHeight="251658240" behindDoc="1" locked="0" layoutInCell="1" allowOverlap="1" wp14:anchorId="31A01CD1" wp14:editId="21A1005D">
            <wp:simplePos x="0" y="0"/>
            <wp:positionH relativeFrom="column">
              <wp:posOffset>543</wp:posOffset>
            </wp:positionH>
            <wp:positionV relativeFrom="page">
              <wp:posOffset>2222114</wp:posOffset>
            </wp:positionV>
            <wp:extent cx="7616952" cy="2889504"/>
            <wp:effectExtent l="0" t="0" r="3175" b="6350"/>
            <wp:wrapNone/>
            <wp:docPr id="1621894456" name="Picture 4" descr="A person holding a tabl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894456" name="Picture 4" descr="A person holding a tablet&#10;&#10;AI-generated content may be incorrect."/>
                    <pic:cNvPicPr/>
                  </pic:nvPicPr>
                  <pic:blipFill>
                    <a:blip r:embed="rId25">
                      <a:extLst>
                        <a:ext uri="{28A0092B-C50C-407E-A947-70E740481C1C}">
                          <a14:useLocalDpi xmlns:a14="http://schemas.microsoft.com/office/drawing/2010/main" val="0"/>
                        </a:ext>
                      </a:extLst>
                    </a:blip>
                    <a:stretch>
                      <a:fillRect/>
                    </a:stretch>
                  </pic:blipFill>
                  <pic:spPr>
                    <a:xfrm>
                      <a:off x="0" y="0"/>
                      <a:ext cx="7616952" cy="2889504"/>
                    </a:xfrm>
                    <a:prstGeom prst="rect">
                      <a:avLst/>
                    </a:prstGeom>
                  </pic:spPr>
                </pic:pic>
              </a:graphicData>
            </a:graphic>
            <wp14:sizeRelH relativeFrom="margin">
              <wp14:pctWidth>0</wp14:pctWidth>
            </wp14:sizeRelH>
            <wp14:sizeRelV relativeFrom="margin">
              <wp14:pctHeight>0</wp14:pctHeight>
            </wp14:sizeRelV>
          </wp:anchor>
        </w:drawing>
      </w:r>
    </w:p>
    <w:sectPr w:rsidR="000913AB" w:rsidSect="00275899">
      <w:footerReference w:type="even" r:id="rId26"/>
      <w:footerReference w:type="default" r:id="rId27"/>
      <w:footerReference w:type="first" r:id="rId28"/>
      <w:pgSz w:w="11980" w:h="30500"/>
      <w:pgMar w:top="0" w:right="0" w:bottom="0" w:left="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83D6D" w14:textId="77777777" w:rsidR="00DA7A3A" w:rsidRDefault="00DA7A3A" w:rsidP="00CE0919">
      <w:pPr>
        <w:spacing w:after="0" w:line="240" w:lineRule="auto"/>
      </w:pPr>
      <w:r>
        <w:separator/>
      </w:r>
    </w:p>
  </w:endnote>
  <w:endnote w:type="continuationSeparator" w:id="0">
    <w:p w14:paraId="2BFC8C27" w14:textId="77777777" w:rsidR="00DA7A3A" w:rsidRDefault="00DA7A3A" w:rsidP="00CE0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0AF5" w14:textId="27E27E6E" w:rsidR="00CE0919" w:rsidRDefault="00CE0919">
    <w:pPr>
      <w:pStyle w:val="Footer"/>
    </w:pPr>
    <w:r>
      <w:rPr>
        <w:noProof/>
      </w:rPr>
      <mc:AlternateContent>
        <mc:Choice Requires="wps">
          <w:drawing>
            <wp:anchor distT="0" distB="0" distL="0" distR="0" simplePos="0" relativeHeight="251659264" behindDoc="0" locked="0" layoutInCell="1" allowOverlap="1" wp14:anchorId="3718FEBB" wp14:editId="6ECE987C">
              <wp:simplePos x="635" y="635"/>
              <wp:positionH relativeFrom="page">
                <wp:align>left</wp:align>
              </wp:positionH>
              <wp:positionV relativeFrom="page">
                <wp:align>bottom</wp:align>
              </wp:positionV>
              <wp:extent cx="1762125" cy="370205"/>
              <wp:effectExtent l="0" t="0" r="3175" b="0"/>
              <wp:wrapNone/>
              <wp:docPr id="1405321892" name="Text Box 2" descr="Fidelity Intern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62125" cy="370205"/>
                      </a:xfrm>
                      <a:prstGeom prst="rect">
                        <a:avLst/>
                      </a:prstGeom>
                      <a:noFill/>
                      <a:ln>
                        <a:noFill/>
                      </a:ln>
                    </wps:spPr>
                    <wps:txbx>
                      <w:txbxContent>
                        <w:p w14:paraId="4C215C5D" w14:textId="36E13F24" w:rsidR="00CE0919" w:rsidRPr="00CE0919" w:rsidRDefault="00CE0919" w:rsidP="00CE0919">
                          <w:pPr>
                            <w:spacing w:after="0"/>
                            <w:rPr>
                              <w:rFonts w:ascii="Aptos" w:eastAsia="Aptos" w:hAnsi="Aptos" w:cs="Aptos"/>
                              <w:noProof/>
                              <w:color w:val="000000"/>
                              <w:sz w:val="20"/>
                              <w:szCs w:val="20"/>
                            </w:rPr>
                          </w:pPr>
                          <w:r w:rsidRPr="00CE0919">
                            <w:rPr>
                              <w:rFonts w:ascii="Aptos" w:eastAsia="Aptos" w:hAnsi="Aptos" w:cs="Aptos"/>
                              <w:noProof/>
                              <w:color w:val="000000"/>
                              <w:sz w:val="20"/>
                              <w:szCs w:val="20"/>
                            </w:rPr>
                            <w:t>Fidelity Internal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18FEBB" id="_x0000_t202" coordsize="21600,21600" o:spt="202" path="m,l,21600r21600,l21600,xe">
              <v:stroke joinstyle="miter"/>
              <v:path gradientshapeok="t" o:connecttype="rect"/>
            </v:shapetype>
            <v:shape id="Text Box 2" o:spid="_x0000_s1029" type="#_x0000_t202" alt="Fidelity Internal Information" style="position:absolute;margin-left:0;margin-top:0;width:138.75pt;height:29.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" filled="f" stroked="f">
              <v:textbox style="mso-fit-shape-to-text:t" inset="20pt,0,0,15pt">
                <w:txbxContent>
                  <w:p w14:paraId="4C215C5D" w14:textId="36E13F24" w:rsidR="00CE0919" w:rsidRPr="00CE0919" w:rsidRDefault="00CE0919" w:rsidP="00CE0919">
                    <w:pPr>
                      <w:spacing w:after="0"/>
                      <w:rPr>
                        <w:rFonts w:ascii="Aptos" w:eastAsia="Aptos" w:hAnsi="Aptos" w:cs="Aptos"/>
                        <w:noProof/>
                        <w:color w:val="000000"/>
                        <w:sz w:val="20"/>
                        <w:szCs w:val="20"/>
                      </w:rPr>
                    </w:pPr>
                    <w:r w:rsidRPr="00CE0919">
                      <w:rPr>
                        <w:rFonts w:ascii="Aptos" w:eastAsia="Aptos" w:hAnsi="Aptos" w:cs="Aptos"/>
                        <w:noProof/>
                        <w:color w:val="000000"/>
                        <w:sz w:val="20"/>
                        <w:szCs w:val="20"/>
                      </w:rPr>
                      <w:t>Fidelity Internal Information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C817" w14:textId="11A27E74" w:rsidR="00CE0919" w:rsidRDefault="00CE0919">
    <w:pPr>
      <w:pStyle w:val="Footer"/>
    </w:pPr>
    <w:r>
      <w:rPr>
        <w:noProof/>
      </w:rPr>
      <mc:AlternateContent>
        <mc:Choice Requires="wps">
          <w:drawing>
            <wp:anchor distT="0" distB="0" distL="0" distR="0" simplePos="0" relativeHeight="251660288" behindDoc="0" locked="0" layoutInCell="1" allowOverlap="1" wp14:anchorId="21D9D40D" wp14:editId="5949A4E9">
              <wp:simplePos x="0" y="0"/>
              <wp:positionH relativeFrom="page">
                <wp:align>left</wp:align>
              </wp:positionH>
              <wp:positionV relativeFrom="page">
                <wp:align>bottom</wp:align>
              </wp:positionV>
              <wp:extent cx="1762125" cy="370205"/>
              <wp:effectExtent l="0" t="0" r="3175" b="0"/>
              <wp:wrapNone/>
              <wp:docPr id="16840684" name="Text Box 3" descr="Fidelity Intern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62125" cy="370205"/>
                      </a:xfrm>
                      <a:prstGeom prst="rect">
                        <a:avLst/>
                      </a:prstGeom>
                      <a:noFill/>
                      <a:ln>
                        <a:noFill/>
                      </a:ln>
                    </wps:spPr>
                    <wps:txbx>
                      <w:txbxContent>
                        <w:p w14:paraId="51205135" w14:textId="5FD8346B" w:rsidR="00CE0919" w:rsidRPr="00CE0919" w:rsidRDefault="00CE0919" w:rsidP="00CE0919">
                          <w:pPr>
                            <w:spacing w:after="0"/>
                            <w:rPr>
                              <w:rFonts w:ascii="Aptos" w:eastAsia="Aptos" w:hAnsi="Aptos" w:cs="Aptos"/>
                              <w:noProof/>
                              <w:color w:val="000000"/>
                              <w:sz w:val="20"/>
                              <w:szCs w:val="20"/>
                            </w:rPr>
                          </w:pPr>
                          <w:r w:rsidRPr="00CE0919">
                            <w:rPr>
                              <w:rFonts w:ascii="Aptos" w:eastAsia="Aptos" w:hAnsi="Aptos" w:cs="Aptos"/>
                              <w:noProof/>
                              <w:color w:val="000000"/>
                              <w:sz w:val="20"/>
                              <w:szCs w:val="20"/>
                            </w:rPr>
                            <w:t>Fidelity Internal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D9D40D" id="_x0000_t202" coordsize="21600,21600" o:spt="202" path="m,l,21600r21600,l21600,xe">
              <v:stroke joinstyle="miter"/>
              <v:path gradientshapeok="t" o:connecttype="rect"/>
            </v:shapetype>
            <v:shape id="Text Box 3" o:spid="_x0000_s1030" type="#_x0000_t202" alt="Fidelity Internal Information" style="position:absolute;margin-left:0;margin-top:0;width:138.75pt;height:29.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" filled="f" stroked="f">
              <v:textbox style="mso-fit-shape-to-text:t" inset="20pt,0,0,15pt">
                <w:txbxContent>
                  <w:p w14:paraId="51205135" w14:textId="5FD8346B" w:rsidR="00CE0919" w:rsidRPr="00CE0919" w:rsidRDefault="00CE0919" w:rsidP="00CE0919">
                    <w:pPr>
                      <w:spacing w:after="0"/>
                      <w:rPr>
                        <w:rFonts w:ascii="Aptos" w:eastAsia="Aptos" w:hAnsi="Aptos" w:cs="Aptos"/>
                        <w:noProof/>
                        <w:color w:val="000000"/>
                        <w:sz w:val="20"/>
                        <w:szCs w:val="20"/>
                      </w:rPr>
                    </w:pPr>
                    <w:r w:rsidRPr="00CE0919">
                      <w:rPr>
                        <w:rFonts w:ascii="Aptos" w:eastAsia="Aptos" w:hAnsi="Aptos" w:cs="Aptos"/>
                        <w:noProof/>
                        <w:color w:val="000000"/>
                        <w:sz w:val="20"/>
                        <w:szCs w:val="20"/>
                      </w:rPr>
                      <w:t>Fidelity Internal Information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7442" w14:textId="10C14CD9" w:rsidR="00CE0919" w:rsidRDefault="00CE0919">
    <w:pPr>
      <w:pStyle w:val="Footer"/>
    </w:pPr>
    <w:r>
      <w:rPr>
        <w:noProof/>
      </w:rPr>
      <mc:AlternateContent>
        <mc:Choice Requires="wps">
          <w:drawing>
            <wp:anchor distT="0" distB="0" distL="0" distR="0" simplePos="0" relativeHeight="251658240" behindDoc="0" locked="0" layoutInCell="1" allowOverlap="1" wp14:anchorId="62ADCBC4" wp14:editId="5B165380">
              <wp:simplePos x="635" y="635"/>
              <wp:positionH relativeFrom="page">
                <wp:align>left</wp:align>
              </wp:positionH>
              <wp:positionV relativeFrom="page">
                <wp:align>bottom</wp:align>
              </wp:positionV>
              <wp:extent cx="1762125" cy="370205"/>
              <wp:effectExtent l="0" t="0" r="3175" b="0"/>
              <wp:wrapNone/>
              <wp:docPr id="1849755508" name="Text Box 1" descr="Fidelity Internal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62125" cy="370205"/>
                      </a:xfrm>
                      <a:prstGeom prst="rect">
                        <a:avLst/>
                      </a:prstGeom>
                      <a:noFill/>
                      <a:ln>
                        <a:noFill/>
                      </a:ln>
                    </wps:spPr>
                    <wps:txbx>
                      <w:txbxContent>
                        <w:p w14:paraId="4A916207" w14:textId="466A8421" w:rsidR="00CE0919" w:rsidRPr="00CE0919" w:rsidRDefault="00CE0919" w:rsidP="00CE0919">
                          <w:pPr>
                            <w:spacing w:after="0"/>
                            <w:rPr>
                              <w:rFonts w:ascii="Aptos" w:eastAsia="Aptos" w:hAnsi="Aptos" w:cs="Aptos"/>
                              <w:noProof/>
                              <w:color w:val="000000"/>
                              <w:sz w:val="20"/>
                              <w:szCs w:val="20"/>
                            </w:rPr>
                          </w:pPr>
                          <w:r w:rsidRPr="00CE0919">
                            <w:rPr>
                              <w:rFonts w:ascii="Aptos" w:eastAsia="Aptos" w:hAnsi="Aptos" w:cs="Aptos"/>
                              <w:noProof/>
                              <w:color w:val="000000"/>
                              <w:sz w:val="20"/>
                              <w:szCs w:val="20"/>
                            </w:rPr>
                            <w:t>Fidelity Internal Information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ADCBC4" id="_x0000_t202" coordsize="21600,21600" o:spt="202" path="m,l,21600r21600,l21600,xe">
              <v:stroke joinstyle="miter"/>
              <v:path gradientshapeok="t" o:connecttype="rect"/>
            </v:shapetype>
            <v:shape id="Text Box 1" o:spid="_x0000_s1031" type="#_x0000_t202" alt="Fidelity Internal Information" style="position:absolute;margin-left:0;margin-top:0;width:138.75pt;height:29.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" filled="f" stroked="f">
              <v:textbox style="mso-fit-shape-to-text:t" inset="20pt,0,0,15pt">
                <w:txbxContent>
                  <w:p w14:paraId="4A916207" w14:textId="466A8421" w:rsidR="00CE0919" w:rsidRPr="00CE0919" w:rsidRDefault="00CE0919" w:rsidP="00CE0919">
                    <w:pPr>
                      <w:spacing w:after="0"/>
                      <w:rPr>
                        <w:rFonts w:ascii="Aptos" w:eastAsia="Aptos" w:hAnsi="Aptos" w:cs="Aptos"/>
                        <w:noProof/>
                        <w:color w:val="000000"/>
                        <w:sz w:val="20"/>
                        <w:szCs w:val="20"/>
                      </w:rPr>
                    </w:pPr>
                    <w:r w:rsidRPr="00CE0919">
                      <w:rPr>
                        <w:rFonts w:ascii="Aptos" w:eastAsia="Aptos" w:hAnsi="Aptos" w:cs="Aptos"/>
                        <w:noProof/>
                        <w:color w:val="000000"/>
                        <w:sz w:val="20"/>
                        <w:szCs w:val="20"/>
                      </w:rPr>
                      <w:t>Fidelity Internal Information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D8E0C" w14:textId="77777777" w:rsidR="00DA7A3A" w:rsidRDefault="00DA7A3A" w:rsidP="00CE0919">
      <w:pPr>
        <w:spacing w:after="0" w:line="240" w:lineRule="auto"/>
      </w:pPr>
      <w:r>
        <w:separator/>
      </w:r>
    </w:p>
  </w:footnote>
  <w:footnote w:type="continuationSeparator" w:id="0">
    <w:p w14:paraId="18B39B67" w14:textId="77777777" w:rsidR="00DA7A3A" w:rsidRDefault="00DA7A3A" w:rsidP="00CE09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087BF4"/>
    <w:multiLevelType w:val="multilevel"/>
    <w:tmpl w:val="ECC00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7242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919"/>
    <w:rsid w:val="000624BE"/>
    <w:rsid w:val="000913AB"/>
    <w:rsid w:val="00114BF9"/>
    <w:rsid w:val="00275899"/>
    <w:rsid w:val="00297B50"/>
    <w:rsid w:val="002A1930"/>
    <w:rsid w:val="005859A6"/>
    <w:rsid w:val="006349CE"/>
    <w:rsid w:val="00652E6F"/>
    <w:rsid w:val="00804621"/>
    <w:rsid w:val="008E1E81"/>
    <w:rsid w:val="00BF1D48"/>
    <w:rsid w:val="00C3671C"/>
    <w:rsid w:val="00CA0F5A"/>
    <w:rsid w:val="00CE0919"/>
    <w:rsid w:val="00D440E7"/>
    <w:rsid w:val="00DA7A3A"/>
    <w:rsid w:val="00F10E9F"/>
    <w:rsid w:val="00FC3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F5C8"/>
  <w15:chartTrackingRefBased/>
  <w15:docId w15:val="{6ECCC4B0-0300-7C4B-B41C-1B51019DD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Heading1">
    <w:name w:val="heading 1"/>
    <w:basedOn w:val="Normal"/>
    <w:next w:val="Normal"/>
    <w:link w:val="Heading1Char"/>
    <w:uiPriority w:val="9"/>
    <w:qFormat/>
    <w:rsid w:val="00CE09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09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09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09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09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09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09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09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09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9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9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9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9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9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9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9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9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919"/>
    <w:rPr>
      <w:rFonts w:eastAsiaTheme="majorEastAsia" w:cstheme="majorBidi"/>
      <w:color w:val="272727" w:themeColor="text1" w:themeTint="D8"/>
    </w:rPr>
  </w:style>
  <w:style w:type="paragraph" w:styleId="Title">
    <w:name w:val="Title"/>
    <w:basedOn w:val="Normal"/>
    <w:next w:val="Normal"/>
    <w:link w:val="TitleChar"/>
    <w:uiPriority w:val="10"/>
    <w:qFormat/>
    <w:rsid w:val="00CE09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09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9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09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919"/>
    <w:pPr>
      <w:spacing w:before="160"/>
      <w:jc w:val="center"/>
    </w:pPr>
    <w:rPr>
      <w:i/>
      <w:iCs/>
      <w:color w:val="404040" w:themeColor="text1" w:themeTint="BF"/>
    </w:rPr>
  </w:style>
  <w:style w:type="character" w:customStyle="1" w:styleId="QuoteChar">
    <w:name w:val="Quote Char"/>
    <w:basedOn w:val="DefaultParagraphFont"/>
    <w:link w:val="Quote"/>
    <w:uiPriority w:val="29"/>
    <w:rsid w:val="00CE0919"/>
    <w:rPr>
      <w:i/>
      <w:iCs/>
      <w:color w:val="404040" w:themeColor="text1" w:themeTint="BF"/>
    </w:rPr>
  </w:style>
  <w:style w:type="paragraph" w:styleId="ListParagraph">
    <w:name w:val="List Paragraph"/>
    <w:basedOn w:val="Normal"/>
    <w:uiPriority w:val="34"/>
    <w:qFormat/>
    <w:rsid w:val="00CE0919"/>
    <w:pPr>
      <w:ind w:left="720"/>
      <w:contextualSpacing/>
    </w:pPr>
  </w:style>
  <w:style w:type="character" w:styleId="IntenseEmphasis">
    <w:name w:val="Intense Emphasis"/>
    <w:basedOn w:val="DefaultParagraphFont"/>
    <w:uiPriority w:val="21"/>
    <w:qFormat/>
    <w:rsid w:val="00CE0919"/>
    <w:rPr>
      <w:i/>
      <w:iCs/>
      <w:color w:val="0F4761" w:themeColor="accent1" w:themeShade="BF"/>
    </w:rPr>
  </w:style>
  <w:style w:type="paragraph" w:styleId="IntenseQuote">
    <w:name w:val="Intense Quote"/>
    <w:basedOn w:val="Normal"/>
    <w:next w:val="Normal"/>
    <w:link w:val="IntenseQuoteChar"/>
    <w:uiPriority w:val="30"/>
    <w:qFormat/>
    <w:rsid w:val="00CE09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0919"/>
    <w:rPr>
      <w:i/>
      <w:iCs/>
      <w:color w:val="0F4761" w:themeColor="accent1" w:themeShade="BF"/>
    </w:rPr>
  </w:style>
  <w:style w:type="character" w:styleId="IntenseReference">
    <w:name w:val="Intense Reference"/>
    <w:basedOn w:val="DefaultParagraphFont"/>
    <w:uiPriority w:val="32"/>
    <w:qFormat/>
    <w:rsid w:val="00CE0919"/>
    <w:rPr>
      <w:b/>
      <w:bCs/>
      <w:smallCaps/>
      <w:color w:val="0F4761" w:themeColor="accent1" w:themeShade="BF"/>
      <w:spacing w:val="5"/>
    </w:rPr>
  </w:style>
  <w:style w:type="paragraph" w:styleId="Footer">
    <w:name w:val="footer"/>
    <w:basedOn w:val="Normal"/>
    <w:link w:val="FooterChar"/>
    <w:uiPriority w:val="99"/>
    <w:unhideWhenUsed/>
    <w:rsid w:val="00CE09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0919"/>
    <w:rPr>
      <w:rFonts w:eastAsiaTheme="minorEastAsia"/>
    </w:rPr>
  </w:style>
  <w:style w:type="character" w:styleId="Hyperlink">
    <w:name w:val="Hyperlink"/>
    <w:basedOn w:val="DefaultParagraphFont"/>
    <w:uiPriority w:val="99"/>
    <w:unhideWhenUsed/>
    <w:rsid w:val="000624BE"/>
    <w:rPr>
      <w:color w:val="467886" w:themeColor="hyperlink"/>
      <w:u w:val="single"/>
    </w:rPr>
  </w:style>
  <w:style w:type="character" w:styleId="FollowedHyperlink">
    <w:name w:val="FollowedHyperlink"/>
    <w:basedOn w:val="DefaultParagraphFont"/>
    <w:uiPriority w:val="99"/>
    <w:semiHidden/>
    <w:unhideWhenUsed/>
    <w:rsid w:val="00BF1D4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ipc.or" TargetMode="External"/><Relationship Id="rId18" Type="http://schemas.openxmlformats.org/officeDocument/2006/relationships/hyperlink" Target="https://www.sipc.or"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fidelity.com/learning-center/life-events/self-employed-retirement-plan" TargetMode="External"/><Relationship Id="rId7" Type="http://schemas.openxmlformats.org/officeDocument/2006/relationships/hyperlink" Target="https://www.fidelity.com/retirement-ira/small-business/compare-retirement-plans?ccsource=setk25" TargetMode="External"/><Relationship Id="rId12" Type="http://schemas.openxmlformats.org/officeDocument/2006/relationships/hyperlink" Target="https://www.fidelity.com/trading/commissions-margin-rates" TargetMode="External"/><Relationship Id="rId17" Type="http://schemas.openxmlformats.org/officeDocument/2006/relationships/hyperlink" Target="https://www.fidelity.com/trading/commissions-margin-rates" TargetMode="External"/><Relationship Id="rId25" Type="http://schemas.openxmlformats.org/officeDocument/2006/relationships/image" Target="media/image4.jpg"/><Relationship Id="rId2" Type="http://schemas.openxmlformats.org/officeDocument/2006/relationships/styles" Target="styles.xml"/><Relationship Id="rId16" Type="http://schemas.openxmlformats.org/officeDocument/2006/relationships/hyperlink" Target="https://www.fidelity.com/trading/commissions-margin-rates" TargetMode="External"/><Relationship Id="rId20" Type="http://schemas.openxmlformats.org/officeDocument/2006/relationships/hyperlink" Target="https://digital.fidelity.com/prgw/digital/small-business-plan-selector/?ccsource=setk2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idelity.com/trading/commissions-margin-rates" TargetMode="External"/><Relationship Id="rId24"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nb.fidelity.com/public/nb/default/resourceslibrary/articles/termsofuse" TargetMode="External"/><Relationship Id="rId23" Type="http://schemas.openxmlformats.org/officeDocument/2006/relationships/image" Target="media/image2.png"/><Relationship Id="rId28" Type="http://schemas.openxmlformats.org/officeDocument/2006/relationships/footer" Target="footer3.xml"/><Relationship Id="rId10" Type="http://schemas.openxmlformats.org/officeDocument/2006/relationships/hyperlink" Target="https://nb.fidelity.com/public/nb/default/resourceslibrary/articles/termsofuse" TargetMode="External"/><Relationship Id="rId19" Type="http://schemas.openxmlformats.org/officeDocument/2006/relationships/hyperlink" Target="https://www.fidelity.com/learning-center/life-events/self-employed-retirement-plan" TargetMode="External"/><Relationship Id="rId4" Type="http://schemas.openxmlformats.org/officeDocument/2006/relationships/webSettings" Target="webSettings.xml"/><Relationship Id="rId9" Type="http://schemas.openxmlformats.org/officeDocument/2006/relationships/hyperlink" Target="https://nb.fidelity.com/public/nb/default/resourceslibrary/articles/privacypolicy" TargetMode="External"/><Relationship Id="rId14" Type="http://schemas.openxmlformats.org/officeDocument/2006/relationships/hyperlink" Target="https://nb.fidelity.com/public/nb/default/resourceslibrary/articles/privacypolicy" TargetMode="External"/><Relationship Id="rId22" Type="http://schemas.openxmlformats.org/officeDocument/2006/relationships/hyperlink" Target="https://digital.fidelity.com/prgw/digital/small-business-plan-selector/?ccsource=setk25"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Ruesch, Joseph</dc:creator>
  <cp:keywords/>
  <dc:description/>
  <cp:lastModifiedBy>York, Sydney</cp:lastModifiedBy>
  <cp:revision>2</cp:revision>
  <dcterms:created xsi:type="dcterms:W3CDTF">2025-09-24T15:51:00Z</dcterms:created>
  <dcterms:modified xsi:type="dcterms:W3CDTF">2025-09-24T15:51:00Z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6e410774,53c382a4,100f7ec</vt:lpwstr>
  </property>
  <property fmtid="{D5CDD505-2E9C-101B-9397-08002B2CF9AE}" pid="3" name="ClassificationContentMarkingFooterFontProps">
    <vt:lpwstr>#000000,10,Aptos</vt:lpwstr>
  </property>
  <property fmtid="{D5CDD505-2E9C-101B-9397-08002B2CF9AE}" pid="4" name="ClassificationContentMarkingFooterText">
    <vt:lpwstr>Fidelity Internal Information</vt:lpwstr>
  </property>
  <property fmtid="{D5CDD505-2E9C-101B-9397-08002B2CF9AE}" pid="5" name="MSIP_Label_03b2c423-eb5a-467c-866f-c54b6721c0c4_Enabled">
    <vt:lpwstr>true</vt:lpwstr>
  </property>
  <property fmtid="{D5CDD505-2E9C-101B-9397-08002B2CF9AE}" pid="6" name="MSIP_Label_03b2c423-eb5a-467c-866f-c54b6721c0c4_SetDate">
    <vt:lpwstr>2025-09-22T15:38:49Z</vt:lpwstr>
  </property>
  <property fmtid="{D5CDD505-2E9C-101B-9397-08002B2CF9AE}" pid="7" name="MSIP_Label_03b2c423-eb5a-467c-866f-c54b6721c0c4_Method">
    <vt:lpwstr>Privileged</vt:lpwstr>
  </property>
  <property fmtid="{D5CDD505-2E9C-101B-9397-08002B2CF9AE}" pid="8" name="MSIP_Label_03b2c423-eb5a-467c-866f-c54b6721c0c4_Name">
    <vt:lpwstr>Fidelity Internal</vt:lpwstr>
  </property>
  <property fmtid="{D5CDD505-2E9C-101B-9397-08002B2CF9AE}" pid="9" name="MSIP_Label_03b2c423-eb5a-467c-866f-c54b6721c0c4_SiteId">
    <vt:lpwstr>7521acbc-a68c-41e5-a975-1cf83066dd19</vt:lpwstr>
  </property>
  <property fmtid="{D5CDD505-2E9C-101B-9397-08002B2CF9AE}" pid="10" name="MSIP_Label_03b2c423-eb5a-467c-866f-c54b6721c0c4_ActionId">
    <vt:lpwstr>ebddb55b-23f1-4e5b-b63a-29a17022764e</vt:lpwstr>
  </property>
  <property fmtid="{D5CDD505-2E9C-101B-9397-08002B2CF9AE}" pid="11" name="MSIP_Label_03b2c423-eb5a-467c-866f-c54b6721c0c4_ContentBits">
    <vt:lpwstr>2</vt:lpwstr>
  </property>
  <property fmtid="{D5CDD505-2E9C-101B-9397-08002B2CF9AE}" pid="12" name="MSIP_Label_03b2c423-eb5a-467c-866f-c54b6721c0c4_Tag">
    <vt:lpwstr>50, 0, 1, 1</vt:lpwstr>
  </property>
</Properties>
</file>