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BE84D" w14:textId="61AB95F9" w:rsidR="00805422" w:rsidRDefault="00805422" w:rsidP="00805422">
      <w:pPr>
        <w:autoSpaceDE w:val="0"/>
        <w:autoSpaceDN w:val="0"/>
        <w:adjustRightInd w:val="0"/>
        <w:spacing w:after="0" w:line="240" w:lineRule="auto"/>
        <w:rPr>
          <w:rFonts w:ascii="FidelitySans-Regular" w:hAnsi="FidelitySans-Regular" w:cs="FidelitySans-Regular"/>
          <w:color w:val="000000"/>
        </w:rPr>
      </w:pPr>
      <w:r>
        <w:rPr>
          <w:rFonts w:ascii="FidelitySans-Regular" w:hAnsi="FidelitySans-Regular" w:cs="FidelitySans-Regular"/>
          <w:color w:val="000000"/>
        </w:rPr>
        <w:t>[Variable Option]</w:t>
      </w:r>
    </w:p>
    <w:p w14:paraId="0EA553B1" w14:textId="77777777" w:rsidR="00805422" w:rsidRDefault="00805422" w:rsidP="00805422">
      <w:pPr>
        <w:autoSpaceDE w:val="0"/>
        <w:autoSpaceDN w:val="0"/>
        <w:adjustRightInd w:val="0"/>
        <w:spacing w:after="0" w:line="240" w:lineRule="auto"/>
        <w:rPr>
          <w:rFonts w:ascii="FidelitySans-Regular" w:hAnsi="FidelitySans-Regular" w:cs="FidelitySans-Regular"/>
          <w:color w:val="000000"/>
        </w:rPr>
      </w:pPr>
    </w:p>
    <w:p w14:paraId="41A8FA7B" w14:textId="77777777" w:rsidR="00805422" w:rsidRDefault="00805422" w:rsidP="00805422">
      <w:pPr>
        <w:autoSpaceDE w:val="0"/>
        <w:autoSpaceDN w:val="0"/>
        <w:adjustRightInd w:val="0"/>
        <w:spacing w:after="0" w:line="240" w:lineRule="auto"/>
        <w:rPr>
          <w:rFonts w:ascii="FidelitySans-Bold" w:hAnsi="FidelitySans-Bold" w:cs="FidelitySans-Bold"/>
          <w:b/>
          <w:bCs/>
          <w:color w:val="000000"/>
        </w:rPr>
      </w:pPr>
      <w:r>
        <w:rPr>
          <w:rFonts w:ascii="FidelitySans-Bold" w:hAnsi="FidelitySans-Bold" w:cs="FidelitySans-Bold"/>
          <w:b/>
          <w:bCs/>
          <w:color w:val="000000"/>
        </w:rPr>
        <w:t>Take control of health care spending</w:t>
      </w:r>
    </w:p>
    <w:p w14:paraId="18864DED" w14:textId="38F9B817" w:rsidR="00805422" w:rsidRDefault="00805422" w:rsidP="00805422">
      <w:pPr>
        <w:autoSpaceDE w:val="0"/>
        <w:autoSpaceDN w:val="0"/>
        <w:adjustRightInd w:val="0"/>
        <w:spacing w:after="0" w:line="240" w:lineRule="auto"/>
        <w:rPr>
          <w:rFonts w:ascii="FidelitySans-Regular" w:hAnsi="FidelitySans-Regular" w:cs="FidelitySans-Regular"/>
          <w:color w:val="000000"/>
        </w:rPr>
      </w:pPr>
      <w:r>
        <w:rPr>
          <w:rFonts w:ascii="FidelitySans-Regular" w:hAnsi="FidelitySans-Regular" w:cs="FidelitySans-Regular"/>
          <w:color w:val="000000"/>
        </w:rPr>
        <w:t xml:space="preserve">This annual enrollment, consider the </w:t>
      </w:r>
      <w:r>
        <w:rPr>
          <w:rFonts w:ascii="FidelitySans-Regular" w:hAnsi="FidelitySans-Regular" w:cs="FidelitySans-Regular"/>
          <w:color w:val="FF00FF"/>
        </w:rPr>
        <w:t xml:space="preserve">[NAME of HSA-Eligible Health Plan] </w:t>
      </w:r>
      <w:r>
        <w:rPr>
          <w:rFonts w:ascii="FidelitySans-Regular" w:hAnsi="FidelitySans-Regular" w:cs="FidelitySans-Regular"/>
          <w:color w:val="000000"/>
        </w:rPr>
        <w:t>and the</w:t>
      </w:r>
      <w:r>
        <w:rPr>
          <w:rFonts w:ascii="FidelitySans-Bold" w:hAnsi="FidelitySans-Bold" w:cs="FidelitySans-Bold"/>
          <w:b/>
          <w:bCs/>
          <w:color w:val="000000"/>
        </w:rPr>
        <w:t xml:space="preserve"> </w:t>
      </w:r>
      <w:r>
        <w:rPr>
          <w:rFonts w:ascii="FidelitySans-Regular" w:hAnsi="FidelitySans-Regular" w:cs="FidelitySans-Regular"/>
          <w:color w:val="000000"/>
        </w:rPr>
        <w:t>#1 HSA</w:t>
      </w:r>
      <w:r>
        <w:rPr>
          <w:rFonts w:ascii="FidelitySans" w:hAnsi="FidelitySans" w:cs="FidelitySans"/>
          <w:color w:val="000000"/>
        </w:rPr>
        <w:t xml:space="preserve">* </w:t>
      </w:r>
      <w:r>
        <w:rPr>
          <w:rFonts w:ascii="FidelitySans-Regular" w:hAnsi="FidelitySans-Regular" w:cs="FidelitySans-Regular"/>
          <w:color w:val="000000"/>
        </w:rPr>
        <w:t>from Fidelity. It offers three unique tax benefits, an account where your funds</w:t>
      </w:r>
      <w:r>
        <w:rPr>
          <w:rFonts w:ascii="FidelitySans-Bold" w:hAnsi="FidelitySans-Bold" w:cs="FidelitySans-Bold"/>
          <w:b/>
          <w:bCs/>
          <w:color w:val="000000"/>
        </w:rPr>
        <w:t xml:space="preserve"> </w:t>
      </w:r>
      <w:r>
        <w:rPr>
          <w:rFonts w:ascii="FidelitySans-Regular" w:hAnsi="FidelitySans-Regular" w:cs="FidelitySans-Regular"/>
          <w:color w:val="000000"/>
        </w:rPr>
        <w:t xml:space="preserve">don’t expire, and the choice to spend now or invest your HSA money for the future. </w:t>
      </w:r>
      <w:r w:rsidR="00AD5F83">
        <w:rPr>
          <w:rFonts w:ascii="FidelitySans-Regular" w:hAnsi="FidelitySans-Regular" w:cs="FidelitySans-Regular"/>
          <w:color w:val="000000"/>
        </w:rPr>
        <w:t>Visit</w:t>
      </w:r>
      <w:r>
        <w:rPr>
          <w:rFonts w:ascii="FidelitySans-Regular" w:hAnsi="FidelitySans-Regular" w:cs="FidelitySans-Regular"/>
          <w:color w:val="000000"/>
        </w:rPr>
        <w:t xml:space="preserve"> fidelity.com/</w:t>
      </w:r>
      <w:r w:rsidR="00AD5F83">
        <w:rPr>
          <w:rFonts w:ascii="FidelitySans-Regular" w:hAnsi="FidelitySans-Regular" w:cs="FidelitySans-Regular"/>
          <w:color w:val="000000"/>
        </w:rPr>
        <w:t>HSA or</w:t>
      </w:r>
      <w:r>
        <w:rPr>
          <w:rFonts w:ascii="FidelitySans-Regular" w:hAnsi="FidelitySans-Regular" w:cs="FidelitySans-Regular"/>
          <w:color w:val="000000"/>
        </w:rPr>
        <w:t xml:space="preserve"> ask your HR team during</w:t>
      </w:r>
      <w:r>
        <w:rPr>
          <w:rFonts w:ascii="FidelitySans-Bold" w:hAnsi="FidelitySans-Bold" w:cs="FidelitySans-Bold"/>
          <w:b/>
          <w:bCs/>
          <w:color w:val="000000"/>
        </w:rPr>
        <w:t xml:space="preserve"> </w:t>
      </w:r>
      <w:r>
        <w:rPr>
          <w:rFonts w:ascii="FidelitySans-Regular" w:hAnsi="FidelitySans-Regular" w:cs="FidelitySans-Regular"/>
          <w:color w:val="000000"/>
        </w:rPr>
        <w:t>annual enrollment.</w:t>
      </w:r>
    </w:p>
    <w:p w14:paraId="188F2B38" w14:textId="77777777" w:rsidR="00805422" w:rsidRDefault="00805422" w:rsidP="00805422">
      <w:pPr>
        <w:autoSpaceDE w:val="0"/>
        <w:autoSpaceDN w:val="0"/>
        <w:adjustRightInd w:val="0"/>
        <w:spacing w:after="0" w:line="240" w:lineRule="auto"/>
        <w:rPr>
          <w:rFonts w:ascii="FidelitySans" w:hAnsi="FidelitySans" w:cs="FidelitySans"/>
          <w:color w:val="221E1F"/>
        </w:rPr>
      </w:pPr>
    </w:p>
    <w:p w14:paraId="79122985" w14:textId="3C04A087" w:rsidR="00805422" w:rsidRDefault="00805422" w:rsidP="00805422">
      <w:pPr>
        <w:autoSpaceDE w:val="0"/>
        <w:autoSpaceDN w:val="0"/>
        <w:adjustRightInd w:val="0"/>
        <w:spacing w:after="0" w:line="240" w:lineRule="auto"/>
        <w:rPr>
          <w:rFonts w:ascii="FidelitySans" w:hAnsi="FidelitySans" w:cs="FidelitySans"/>
          <w:color w:val="221E1F"/>
        </w:rPr>
      </w:pPr>
      <w:r>
        <w:rPr>
          <w:rFonts w:ascii="FidelitySans" w:hAnsi="FidelitySans" w:cs="FidelitySans"/>
          <w:color w:val="221E1F"/>
        </w:rPr>
        <w:t>Fidelity Brokerage Services LLC, Member NYSE, SIPC, 900 Salem Street, Smithfield, RI 02917</w:t>
      </w:r>
    </w:p>
    <w:p w14:paraId="2572906D" w14:textId="77777777" w:rsidR="00805422" w:rsidRDefault="00805422" w:rsidP="00805422">
      <w:pPr>
        <w:autoSpaceDE w:val="0"/>
        <w:autoSpaceDN w:val="0"/>
        <w:adjustRightInd w:val="0"/>
        <w:spacing w:after="0" w:line="240" w:lineRule="auto"/>
        <w:rPr>
          <w:rFonts w:ascii="FidelitySans" w:hAnsi="FidelitySans" w:cs="FidelitySans"/>
          <w:color w:val="221E1F"/>
        </w:rPr>
      </w:pPr>
    </w:p>
    <w:p w14:paraId="651043C4" w14:textId="43D474CE" w:rsidR="00805422" w:rsidRPr="009B5BD5" w:rsidRDefault="00805422" w:rsidP="00805422">
      <w:pPr>
        <w:autoSpaceDE w:val="0"/>
        <w:autoSpaceDN w:val="0"/>
        <w:adjustRightInd w:val="0"/>
        <w:spacing w:after="0" w:line="240" w:lineRule="auto"/>
        <w:rPr>
          <w:rFonts w:ascii="FidelitySans" w:hAnsi="FidelitySans" w:cs="FidelitySans"/>
          <w:b/>
          <w:bCs/>
          <w:color w:val="221E1F"/>
        </w:rPr>
      </w:pPr>
      <w:r>
        <w:rPr>
          <w:rFonts w:ascii="FidelitySans" w:hAnsi="FidelitySans" w:cs="FidelitySans"/>
          <w:color w:val="221E1F"/>
        </w:rPr>
        <w:t xml:space="preserve">* </w:t>
      </w:r>
      <w:r w:rsidR="009B5BD5" w:rsidRPr="009B5BD5">
        <w:rPr>
          <w:rFonts w:ascii="FidelitySans" w:hAnsi="FidelitySans" w:cs="FidelitySans"/>
          <w:color w:val="221E1F"/>
        </w:rPr>
        <w:t>Morningstar rated 11 retail HSA providers for two distinct use cases: HSAs as a spending account to cover current medical costs and HSAs as an investment account to save for future medical expenses. Results published in “2024 Health Savings Account Landscape.”</w:t>
      </w:r>
    </w:p>
    <w:p w14:paraId="327F0CA0" w14:textId="77777777" w:rsidR="00805422" w:rsidRPr="00805422" w:rsidRDefault="00805422" w:rsidP="00805422">
      <w:pPr>
        <w:autoSpaceDE w:val="0"/>
        <w:autoSpaceDN w:val="0"/>
        <w:adjustRightInd w:val="0"/>
        <w:spacing w:after="0" w:line="240" w:lineRule="auto"/>
        <w:rPr>
          <w:rFonts w:ascii="FidelitySans-Bold" w:hAnsi="FidelitySans-Bold" w:cs="FidelitySans-Bold"/>
          <w:color w:val="000000"/>
        </w:rPr>
      </w:pPr>
    </w:p>
    <w:p w14:paraId="736843E7" w14:textId="1CAC62F7" w:rsidR="00805422" w:rsidRDefault="00805422" w:rsidP="00805422">
      <w:pPr>
        <w:autoSpaceDE w:val="0"/>
        <w:autoSpaceDN w:val="0"/>
        <w:adjustRightInd w:val="0"/>
        <w:spacing w:after="0" w:line="240" w:lineRule="auto"/>
        <w:rPr>
          <w:rFonts w:ascii="FidelitySans-Regular" w:hAnsi="FidelitySans-Regular" w:cs="FidelitySans-Regular"/>
          <w:color w:val="221E1F"/>
        </w:rPr>
      </w:pPr>
      <w:r>
        <w:rPr>
          <w:rFonts w:ascii="FidelitySans-Regular" w:hAnsi="FidelitySans-Regular" w:cs="FidelitySans-Regular"/>
          <w:color w:val="221E1F"/>
        </w:rPr>
        <w:t>1098282.</w:t>
      </w:r>
      <w:r w:rsidR="009B5BD5">
        <w:rPr>
          <w:rFonts w:ascii="FidelitySans-Regular" w:hAnsi="FidelitySans-Regular" w:cs="FidelitySans-Regular"/>
          <w:color w:val="221E1F"/>
        </w:rPr>
        <w:t>3</w:t>
      </w:r>
      <w:r>
        <w:rPr>
          <w:rFonts w:ascii="FidelitySans-Regular" w:hAnsi="FidelitySans-Regular" w:cs="FidelitySans-Regular"/>
          <w:color w:val="221E1F"/>
        </w:rPr>
        <w:t>.0</w:t>
      </w:r>
    </w:p>
    <w:p w14:paraId="7201842B" w14:textId="3F384D66" w:rsidR="00805422" w:rsidRDefault="00805422" w:rsidP="00805422">
      <w:pPr>
        <w:autoSpaceDE w:val="0"/>
        <w:autoSpaceDN w:val="0"/>
        <w:adjustRightInd w:val="0"/>
        <w:spacing w:after="0" w:line="240" w:lineRule="auto"/>
        <w:rPr>
          <w:rFonts w:ascii="FidelitySans-Regular" w:hAnsi="FidelitySans-Regular" w:cs="FidelitySans-Regular"/>
          <w:color w:val="221E1F"/>
        </w:rPr>
      </w:pPr>
    </w:p>
    <w:p w14:paraId="6DFE0B8F" w14:textId="77777777" w:rsidR="00805422" w:rsidRDefault="00805422" w:rsidP="00805422">
      <w:pPr>
        <w:autoSpaceDE w:val="0"/>
        <w:autoSpaceDN w:val="0"/>
        <w:adjustRightInd w:val="0"/>
        <w:spacing w:after="0" w:line="240" w:lineRule="auto"/>
        <w:rPr>
          <w:rFonts w:ascii="FidelitySans-Regular" w:hAnsi="FidelitySans-Regular" w:cs="FidelitySans-Regular"/>
          <w:color w:val="221E1F"/>
        </w:rPr>
      </w:pPr>
    </w:p>
    <w:p w14:paraId="0201E7B6" w14:textId="460E4E0E" w:rsidR="00805422" w:rsidRDefault="00805422" w:rsidP="00805422">
      <w:pPr>
        <w:autoSpaceDE w:val="0"/>
        <w:autoSpaceDN w:val="0"/>
        <w:adjustRightInd w:val="0"/>
        <w:spacing w:after="0" w:line="240" w:lineRule="auto"/>
        <w:rPr>
          <w:rFonts w:ascii="FidelitySans-Regular" w:hAnsi="FidelitySans-Regular" w:cs="FidelitySans-Regular"/>
          <w:color w:val="000000"/>
        </w:rPr>
      </w:pPr>
      <w:r>
        <w:rPr>
          <w:rFonts w:ascii="FidelitySans-Regular" w:hAnsi="FidelitySans-Regular" w:cs="FidelitySans-Regular"/>
          <w:color w:val="000000"/>
        </w:rPr>
        <w:t>[Generic option]</w:t>
      </w:r>
    </w:p>
    <w:p w14:paraId="2DD55883" w14:textId="77777777" w:rsidR="00805422" w:rsidRDefault="00805422" w:rsidP="00805422">
      <w:pPr>
        <w:autoSpaceDE w:val="0"/>
        <w:autoSpaceDN w:val="0"/>
        <w:adjustRightInd w:val="0"/>
        <w:spacing w:after="0" w:line="240" w:lineRule="auto"/>
        <w:rPr>
          <w:rFonts w:ascii="FidelitySans-Regular" w:hAnsi="FidelitySans-Regular" w:cs="FidelitySans-Regular"/>
          <w:color w:val="000000"/>
        </w:rPr>
      </w:pPr>
    </w:p>
    <w:p w14:paraId="1E22EF16" w14:textId="77777777" w:rsidR="00805422" w:rsidRDefault="00805422" w:rsidP="00805422">
      <w:pPr>
        <w:autoSpaceDE w:val="0"/>
        <w:autoSpaceDN w:val="0"/>
        <w:adjustRightInd w:val="0"/>
        <w:spacing w:after="0" w:line="240" w:lineRule="auto"/>
        <w:rPr>
          <w:rFonts w:ascii="FidelitySans-Bold" w:hAnsi="FidelitySans-Bold" w:cs="FidelitySans-Bold"/>
          <w:b/>
          <w:bCs/>
          <w:color w:val="000000"/>
        </w:rPr>
      </w:pPr>
      <w:r>
        <w:rPr>
          <w:rFonts w:ascii="FidelitySans-Bold" w:hAnsi="FidelitySans-Bold" w:cs="FidelitySans-Bold"/>
          <w:b/>
          <w:bCs/>
          <w:color w:val="000000"/>
        </w:rPr>
        <w:t>Take control of health care spending</w:t>
      </w:r>
    </w:p>
    <w:p w14:paraId="4230DAE2" w14:textId="12BE5CDB" w:rsidR="00805422" w:rsidRDefault="00805422" w:rsidP="00805422">
      <w:pPr>
        <w:autoSpaceDE w:val="0"/>
        <w:autoSpaceDN w:val="0"/>
        <w:adjustRightInd w:val="0"/>
        <w:spacing w:after="0" w:line="240" w:lineRule="auto"/>
        <w:rPr>
          <w:rFonts w:ascii="FidelitySans-Regular" w:hAnsi="FidelitySans-Regular" w:cs="FidelitySans-Regular"/>
          <w:color w:val="000000"/>
        </w:rPr>
      </w:pPr>
      <w:r>
        <w:rPr>
          <w:rFonts w:ascii="FidelitySans-Regular" w:hAnsi="FidelitySans-Regular" w:cs="FidelitySans-Regular"/>
          <w:color w:val="000000"/>
        </w:rPr>
        <w:t xml:space="preserve">This annual enrollment, consider the HSA-eligible health plan and the #1 HSA from Fidelity. You could have an HSA where your funds don’t expire, you get three unique tax benefits, and the choice to spend now or invest your HSA money for the future. </w:t>
      </w:r>
      <w:r w:rsidR="009B5BD5">
        <w:rPr>
          <w:rFonts w:ascii="FidelitySans-Regular" w:hAnsi="FidelitySans-Regular" w:cs="FidelitySans-Regular"/>
          <w:color w:val="000000"/>
        </w:rPr>
        <w:t xml:space="preserve">Visit </w:t>
      </w:r>
      <w:r>
        <w:rPr>
          <w:rFonts w:ascii="FidelitySans-Regular" w:hAnsi="FidelitySans-Regular" w:cs="FidelitySans-Regular"/>
          <w:color w:val="000000"/>
        </w:rPr>
        <w:t>fidelity.com/</w:t>
      </w:r>
      <w:r w:rsidR="009B5BD5">
        <w:rPr>
          <w:rFonts w:ascii="FidelitySans-Regular" w:hAnsi="FidelitySans-Regular" w:cs="FidelitySans-Regular"/>
          <w:color w:val="000000"/>
        </w:rPr>
        <w:t>HSA</w:t>
      </w:r>
      <w:r>
        <w:rPr>
          <w:rFonts w:ascii="FidelitySans-Regular" w:hAnsi="FidelitySans-Regular" w:cs="FidelitySans-Regular"/>
          <w:color w:val="000000"/>
        </w:rPr>
        <w:t xml:space="preserve"> or ask your HR team during annual enrollment.</w:t>
      </w:r>
    </w:p>
    <w:p w14:paraId="34378664" w14:textId="77777777" w:rsidR="00805422" w:rsidRDefault="00805422" w:rsidP="00805422">
      <w:pPr>
        <w:autoSpaceDE w:val="0"/>
        <w:autoSpaceDN w:val="0"/>
        <w:adjustRightInd w:val="0"/>
        <w:spacing w:after="0" w:line="240" w:lineRule="auto"/>
        <w:rPr>
          <w:rFonts w:ascii="FidelitySans" w:hAnsi="FidelitySans" w:cs="FidelitySans"/>
          <w:color w:val="221E1F"/>
        </w:rPr>
      </w:pPr>
    </w:p>
    <w:p w14:paraId="23B0BA95" w14:textId="736992F4" w:rsidR="00805422" w:rsidRDefault="00805422" w:rsidP="00805422">
      <w:pPr>
        <w:autoSpaceDE w:val="0"/>
        <w:autoSpaceDN w:val="0"/>
        <w:adjustRightInd w:val="0"/>
        <w:spacing w:after="0" w:line="240" w:lineRule="auto"/>
        <w:rPr>
          <w:rFonts w:ascii="FidelitySans" w:hAnsi="FidelitySans" w:cs="FidelitySans"/>
          <w:color w:val="221E1F"/>
        </w:rPr>
      </w:pPr>
      <w:r>
        <w:rPr>
          <w:rFonts w:ascii="FidelitySans" w:hAnsi="FidelitySans" w:cs="FidelitySans"/>
          <w:color w:val="221E1F"/>
        </w:rPr>
        <w:t>Fidelity Brokerage Services LLC, Member NYSE, SIPC, 900 Salem Street, Smithfield, RI 02917</w:t>
      </w:r>
    </w:p>
    <w:p w14:paraId="4DF2B255" w14:textId="77777777" w:rsidR="00805422" w:rsidRDefault="00805422" w:rsidP="00805422">
      <w:pPr>
        <w:autoSpaceDE w:val="0"/>
        <w:autoSpaceDN w:val="0"/>
        <w:adjustRightInd w:val="0"/>
        <w:spacing w:after="0" w:line="240" w:lineRule="auto"/>
        <w:rPr>
          <w:rFonts w:ascii="FidelitySans" w:hAnsi="FidelitySans" w:cs="FidelitySans"/>
          <w:color w:val="221E1F"/>
        </w:rPr>
      </w:pPr>
    </w:p>
    <w:p w14:paraId="72B0364D" w14:textId="4A5DCE07" w:rsidR="00805422" w:rsidRPr="009B5BD5" w:rsidRDefault="00805422" w:rsidP="00805422">
      <w:pPr>
        <w:autoSpaceDE w:val="0"/>
        <w:autoSpaceDN w:val="0"/>
        <w:adjustRightInd w:val="0"/>
        <w:spacing w:after="0" w:line="240" w:lineRule="auto"/>
        <w:rPr>
          <w:rFonts w:ascii="FidelitySans" w:hAnsi="FidelitySans" w:cs="FidelitySans"/>
          <w:b/>
          <w:bCs/>
          <w:color w:val="221E1F"/>
        </w:rPr>
      </w:pPr>
      <w:r>
        <w:rPr>
          <w:rFonts w:ascii="FidelitySans" w:hAnsi="FidelitySans" w:cs="FidelitySans"/>
          <w:color w:val="221E1F"/>
        </w:rPr>
        <w:t xml:space="preserve">* </w:t>
      </w:r>
      <w:r w:rsidR="009B5BD5" w:rsidRPr="009B5BD5">
        <w:rPr>
          <w:rFonts w:ascii="FidelitySans" w:hAnsi="FidelitySans" w:cs="FidelitySans"/>
          <w:color w:val="221E1F"/>
        </w:rPr>
        <w:t>Morningstar rated 11 retail HSA providers for two distinct use cases: HSAs as a spending account to cover current medical costs and HSAs as an investment account to save for future medical expenses. Results published in “2024 Health Savings Account Landscape.”</w:t>
      </w:r>
    </w:p>
    <w:p w14:paraId="6D20167D" w14:textId="77777777" w:rsidR="00805422" w:rsidRPr="00805422" w:rsidRDefault="00805422" w:rsidP="00805422">
      <w:pPr>
        <w:autoSpaceDE w:val="0"/>
        <w:autoSpaceDN w:val="0"/>
        <w:adjustRightInd w:val="0"/>
        <w:spacing w:after="0" w:line="240" w:lineRule="auto"/>
        <w:rPr>
          <w:rFonts w:ascii="FidelitySans-Bold" w:hAnsi="FidelitySans-Bold" w:cs="FidelitySans-Bold"/>
          <w:color w:val="000000"/>
        </w:rPr>
      </w:pPr>
    </w:p>
    <w:p w14:paraId="030BB69F" w14:textId="238C42DD" w:rsidR="00805422" w:rsidRDefault="00805422" w:rsidP="00805422">
      <w:pPr>
        <w:autoSpaceDE w:val="0"/>
        <w:autoSpaceDN w:val="0"/>
        <w:adjustRightInd w:val="0"/>
        <w:spacing w:after="0" w:line="240" w:lineRule="auto"/>
        <w:rPr>
          <w:rFonts w:ascii="FidelitySans-Regular" w:hAnsi="FidelitySans-Regular" w:cs="FidelitySans-Regular"/>
          <w:color w:val="221E1F"/>
        </w:rPr>
      </w:pPr>
      <w:r>
        <w:rPr>
          <w:rFonts w:ascii="FidelitySans-Regular" w:hAnsi="FidelitySans-Regular" w:cs="FidelitySans-Regular"/>
          <w:color w:val="221E1F"/>
        </w:rPr>
        <w:t>1098282.</w:t>
      </w:r>
      <w:r w:rsidR="009B5BD5">
        <w:rPr>
          <w:rFonts w:ascii="FidelitySans-Regular" w:hAnsi="FidelitySans-Regular" w:cs="FidelitySans-Regular"/>
          <w:color w:val="221E1F"/>
        </w:rPr>
        <w:t>3</w:t>
      </w:r>
      <w:r>
        <w:rPr>
          <w:rFonts w:ascii="FidelitySans-Regular" w:hAnsi="FidelitySans-Regular" w:cs="FidelitySans-Regular"/>
          <w:color w:val="221E1F"/>
        </w:rPr>
        <w:t>.0</w:t>
      </w:r>
    </w:p>
    <w:p w14:paraId="06CECBC5" w14:textId="57E267B0" w:rsidR="00164EEE" w:rsidRDefault="00164EEE" w:rsidP="00805422">
      <w:pPr>
        <w:autoSpaceDE w:val="0"/>
        <w:autoSpaceDN w:val="0"/>
        <w:adjustRightInd w:val="0"/>
        <w:spacing w:after="0" w:line="240" w:lineRule="auto"/>
      </w:pPr>
    </w:p>
    <w:sectPr w:rsidR="00164EEE">
      <w:footerReference w:type="even" r:id="rId6"/>
      <w:footerReference w:type="default" r:id="rId7"/>
      <w:foot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1FF60" w14:textId="77777777" w:rsidR="00E176B6" w:rsidRDefault="00E176B6" w:rsidP="00AD5F83">
      <w:pPr>
        <w:spacing w:after="0" w:line="240" w:lineRule="auto"/>
      </w:pPr>
      <w:r>
        <w:separator/>
      </w:r>
    </w:p>
  </w:endnote>
  <w:endnote w:type="continuationSeparator" w:id="0">
    <w:p w14:paraId="416117D8" w14:textId="77777777" w:rsidR="00E176B6" w:rsidRDefault="00E176B6" w:rsidP="00AD5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idelitySans-Regular">
    <w:altName w:val="Calibri"/>
    <w:panose1 w:val="00000000000000000000"/>
    <w:charset w:val="00"/>
    <w:family w:val="swiss"/>
    <w:notTrueType/>
    <w:pitch w:val="default"/>
    <w:sig w:usb0="00000003" w:usb1="00000000" w:usb2="00000000" w:usb3="00000000" w:csb0="00000001" w:csb1="00000000"/>
  </w:font>
  <w:font w:name="FidelitySans-Bold">
    <w:altName w:val="Calibri"/>
    <w:panose1 w:val="00000000000000000000"/>
    <w:charset w:val="00"/>
    <w:family w:val="swiss"/>
    <w:notTrueType/>
    <w:pitch w:val="default"/>
    <w:sig w:usb0="00000003" w:usb1="00000000" w:usb2="00000000" w:usb3="00000000" w:csb0="00000001" w:csb1="00000000"/>
  </w:font>
  <w:font w:name="FidelitySans">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D4149" w14:textId="00D4ABCF" w:rsidR="00AD5F83" w:rsidRDefault="00AD5F83">
    <w:pPr>
      <w:pStyle w:val="Footer"/>
    </w:pPr>
    <w:r>
      <w:rPr>
        <w:noProof/>
      </w:rPr>
      <mc:AlternateContent>
        <mc:Choice Requires="wps">
          <w:drawing>
            <wp:anchor distT="0" distB="0" distL="0" distR="0" simplePos="0" relativeHeight="251659264" behindDoc="0" locked="0" layoutInCell="1" allowOverlap="1" wp14:anchorId="79CFD9FF" wp14:editId="55CDC184">
              <wp:simplePos x="635" y="635"/>
              <wp:positionH relativeFrom="page">
                <wp:align>left</wp:align>
              </wp:positionH>
              <wp:positionV relativeFrom="page">
                <wp:align>bottom</wp:align>
              </wp:positionV>
              <wp:extent cx="1709420" cy="357505"/>
              <wp:effectExtent l="0" t="0" r="5080" b="0"/>
              <wp:wrapNone/>
              <wp:docPr id="611474901" name="Text Box 2"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57505"/>
                      </a:xfrm>
                      <a:prstGeom prst="rect">
                        <a:avLst/>
                      </a:prstGeom>
                      <a:noFill/>
                      <a:ln>
                        <a:noFill/>
                      </a:ln>
                    </wps:spPr>
                    <wps:txbx>
                      <w:txbxContent>
                        <w:p w14:paraId="5F4DDC38" w14:textId="49062F6D" w:rsidR="00AD5F83" w:rsidRPr="00AD5F83" w:rsidRDefault="00AD5F83" w:rsidP="00AD5F83">
                          <w:pPr>
                            <w:spacing w:after="0"/>
                            <w:rPr>
                              <w:rFonts w:ascii="Calibri" w:eastAsia="Calibri" w:hAnsi="Calibri" w:cs="Calibri"/>
                              <w:noProof/>
                              <w:color w:val="000000"/>
                              <w:sz w:val="20"/>
                              <w:szCs w:val="20"/>
                            </w:rPr>
                          </w:pPr>
                          <w:r w:rsidRPr="00AD5F83">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9CFD9FF" id="_x0000_t202" coordsize="21600,21600" o:spt="202" path="m,l,21600r21600,l21600,xe">
              <v:stroke joinstyle="miter"/>
              <v:path gradientshapeok="t" o:connecttype="rect"/>
            </v:shapetype>
            <v:shape id="Text Box 2" o:spid="_x0000_s1026" type="#_x0000_t202" alt="Fidelity Internal Information" style="position:absolute;margin-left:0;margin-top:0;width:134.6pt;height:28.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" filled="f" stroked="f">
              <v:textbox style="mso-fit-shape-to-text:t" inset="20pt,0,0,15pt">
                <w:txbxContent>
                  <w:p w14:paraId="5F4DDC38" w14:textId="49062F6D" w:rsidR="00AD5F83" w:rsidRPr="00AD5F83" w:rsidRDefault="00AD5F83" w:rsidP="00AD5F83">
                    <w:pPr>
                      <w:spacing w:after="0"/>
                      <w:rPr>
                        <w:rFonts w:ascii="Calibri" w:eastAsia="Calibri" w:hAnsi="Calibri" w:cs="Calibri"/>
                        <w:noProof/>
                        <w:color w:val="000000"/>
                        <w:sz w:val="20"/>
                        <w:szCs w:val="20"/>
                      </w:rPr>
                    </w:pPr>
                    <w:r w:rsidRPr="00AD5F83">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CCAF4" w14:textId="168D1A09" w:rsidR="00AD5F83" w:rsidRDefault="00AD5F83">
    <w:pPr>
      <w:pStyle w:val="Footer"/>
    </w:pPr>
    <w:r>
      <w:rPr>
        <w:noProof/>
      </w:rPr>
      <mc:AlternateContent>
        <mc:Choice Requires="wps">
          <w:drawing>
            <wp:anchor distT="0" distB="0" distL="0" distR="0" simplePos="0" relativeHeight="251660288" behindDoc="0" locked="0" layoutInCell="1" allowOverlap="1" wp14:anchorId="3E2C9646" wp14:editId="7895C01A">
              <wp:simplePos x="914400" y="9429750"/>
              <wp:positionH relativeFrom="page">
                <wp:align>left</wp:align>
              </wp:positionH>
              <wp:positionV relativeFrom="page">
                <wp:align>bottom</wp:align>
              </wp:positionV>
              <wp:extent cx="1709420" cy="357505"/>
              <wp:effectExtent l="0" t="0" r="5080" b="0"/>
              <wp:wrapNone/>
              <wp:docPr id="100810345" name="Text Box 3"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57505"/>
                      </a:xfrm>
                      <a:prstGeom prst="rect">
                        <a:avLst/>
                      </a:prstGeom>
                      <a:noFill/>
                      <a:ln>
                        <a:noFill/>
                      </a:ln>
                    </wps:spPr>
                    <wps:txbx>
                      <w:txbxContent>
                        <w:p w14:paraId="47184D00" w14:textId="0A4ECB80" w:rsidR="00AD5F83" w:rsidRPr="00AD5F83" w:rsidRDefault="00AD5F83" w:rsidP="00AD5F83">
                          <w:pPr>
                            <w:spacing w:after="0"/>
                            <w:rPr>
                              <w:rFonts w:ascii="Calibri" w:eastAsia="Calibri" w:hAnsi="Calibri" w:cs="Calibri"/>
                              <w:noProof/>
                              <w:color w:val="000000"/>
                              <w:sz w:val="20"/>
                              <w:szCs w:val="20"/>
                            </w:rPr>
                          </w:pPr>
                          <w:r w:rsidRPr="00AD5F83">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E2C9646" id="_x0000_t202" coordsize="21600,21600" o:spt="202" path="m,l,21600r21600,l21600,xe">
              <v:stroke joinstyle="miter"/>
              <v:path gradientshapeok="t" o:connecttype="rect"/>
            </v:shapetype>
            <v:shape id="Text Box 3" o:spid="_x0000_s1027" type="#_x0000_t202" alt="Fidelity Internal Information" style="position:absolute;margin-left:0;margin-top:0;width:134.6pt;height:28.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" filled="f" stroked="f">
              <v:textbox style="mso-fit-shape-to-text:t" inset="20pt,0,0,15pt">
                <w:txbxContent>
                  <w:p w14:paraId="47184D00" w14:textId="0A4ECB80" w:rsidR="00AD5F83" w:rsidRPr="00AD5F83" w:rsidRDefault="00AD5F83" w:rsidP="00AD5F83">
                    <w:pPr>
                      <w:spacing w:after="0"/>
                      <w:rPr>
                        <w:rFonts w:ascii="Calibri" w:eastAsia="Calibri" w:hAnsi="Calibri" w:cs="Calibri"/>
                        <w:noProof/>
                        <w:color w:val="000000"/>
                        <w:sz w:val="20"/>
                        <w:szCs w:val="20"/>
                      </w:rPr>
                    </w:pPr>
                    <w:r w:rsidRPr="00AD5F83">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A3B96" w14:textId="63DCF0B7" w:rsidR="00AD5F83" w:rsidRDefault="00AD5F83">
    <w:pPr>
      <w:pStyle w:val="Footer"/>
    </w:pPr>
    <w:r>
      <w:rPr>
        <w:noProof/>
      </w:rPr>
      <mc:AlternateContent>
        <mc:Choice Requires="wps">
          <w:drawing>
            <wp:anchor distT="0" distB="0" distL="0" distR="0" simplePos="0" relativeHeight="251658240" behindDoc="0" locked="0" layoutInCell="1" allowOverlap="1" wp14:anchorId="2E0B98B7" wp14:editId="4E12CE66">
              <wp:simplePos x="635" y="635"/>
              <wp:positionH relativeFrom="page">
                <wp:align>left</wp:align>
              </wp:positionH>
              <wp:positionV relativeFrom="page">
                <wp:align>bottom</wp:align>
              </wp:positionV>
              <wp:extent cx="1709420" cy="357505"/>
              <wp:effectExtent l="0" t="0" r="5080" b="0"/>
              <wp:wrapNone/>
              <wp:docPr id="124712618" name="Text Box 1"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57505"/>
                      </a:xfrm>
                      <a:prstGeom prst="rect">
                        <a:avLst/>
                      </a:prstGeom>
                      <a:noFill/>
                      <a:ln>
                        <a:noFill/>
                      </a:ln>
                    </wps:spPr>
                    <wps:txbx>
                      <w:txbxContent>
                        <w:p w14:paraId="78406845" w14:textId="59ED0C03" w:rsidR="00AD5F83" w:rsidRPr="00AD5F83" w:rsidRDefault="00AD5F83" w:rsidP="00AD5F83">
                          <w:pPr>
                            <w:spacing w:after="0"/>
                            <w:rPr>
                              <w:rFonts w:ascii="Calibri" w:eastAsia="Calibri" w:hAnsi="Calibri" w:cs="Calibri"/>
                              <w:noProof/>
                              <w:color w:val="000000"/>
                              <w:sz w:val="20"/>
                              <w:szCs w:val="20"/>
                            </w:rPr>
                          </w:pPr>
                          <w:r w:rsidRPr="00AD5F83">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E0B98B7" id="_x0000_t202" coordsize="21600,21600" o:spt="202" path="m,l,21600r21600,l21600,xe">
              <v:stroke joinstyle="miter"/>
              <v:path gradientshapeok="t" o:connecttype="rect"/>
            </v:shapetype>
            <v:shape id="Text Box 1" o:spid="_x0000_s1028" type="#_x0000_t202" alt="Fidelity Internal Information" style="position:absolute;margin-left:0;margin-top:0;width:134.6pt;height:28.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" filled="f" stroked="f">
              <v:textbox style="mso-fit-shape-to-text:t" inset="20pt,0,0,15pt">
                <w:txbxContent>
                  <w:p w14:paraId="78406845" w14:textId="59ED0C03" w:rsidR="00AD5F83" w:rsidRPr="00AD5F83" w:rsidRDefault="00AD5F83" w:rsidP="00AD5F83">
                    <w:pPr>
                      <w:spacing w:after="0"/>
                      <w:rPr>
                        <w:rFonts w:ascii="Calibri" w:eastAsia="Calibri" w:hAnsi="Calibri" w:cs="Calibri"/>
                        <w:noProof/>
                        <w:color w:val="000000"/>
                        <w:sz w:val="20"/>
                        <w:szCs w:val="20"/>
                      </w:rPr>
                    </w:pPr>
                    <w:r w:rsidRPr="00AD5F83">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C53B3" w14:textId="77777777" w:rsidR="00E176B6" w:rsidRDefault="00E176B6" w:rsidP="00AD5F83">
      <w:pPr>
        <w:spacing w:after="0" w:line="240" w:lineRule="auto"/>
      </w:pPr>
      <w:r>
        <w:separator/>
      </w:r>
    </w:p>
  </w:footnote>
  <w:footnote w:type="continuationSeparator" w:id="0">
    <w:p w14:paraId="49C098E2" w14:textId="77777777" w:rsidR="00E176B6" w:rsidRDefault="00E176B6" w:rsidP="00AD5F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422"/>
    <w:rsid w:val="00164EEE"/>
    <w:rsid w:val="00530594"/>
    <w:rsid w:val="00693D2F"/>
    <w:rsid w:val="00805422"/>
    <w:rsid w:val="00817EF9"/>
    <w:rsid w:val="009B5BD5"/>
    <w:rsid w:val="00A5275E"/>
    <w:rsid w:val="00AD5F83"/>
    <w:rsid w:val="00C909B9"/>
    <w:rsid w:val="00D90594"/>
    <w:rsid w:val="00DD2389"/>
    <w:rsid w:val="00E17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FF95E"/>
  <w15:chartTrackingRefBased/>
  <w15:docId w15:val="{480A02B4-781F-4B06-B168-CD7D2D55B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D5F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68165">
      <w:bodyDiv w:val="1"/>
      <w:marLeft w:val="0"/>
      <w:marRight w:val="0"/>
      <w:marTop w:val="0"/>
      <w:marBottom w:val="0"/>
      <w:divBdr>
        <w:top w:val="none" w:sz="0" w:space="0" w:color="auto"/>
        <w:left w:val="none" w:sz="0" w:space="0" w:color="auto"/>
        <w:bottom w:val="none" w:sz="0" w:space="0" w:color="auto"/>
        <w:right w:val="none" w:sz="0" w:space="0" w:color="auto"/>
      </w:divBdr>
    </w:div>
    <w:div w:id="472216939">
      <w:bodyDiv w:val="1"/>
      <w:marLeft w:val="0"/>
      <w:marRight w:val="0"/>
      <w:marTop w:val="0"/>
      <w:marBottom w:val="0"/>
      <w:divBdr>
        <w:top w:val="none" w:sz="0" w:space="0" w:color="auto"/>
        <w:left w:val="none" w:sz="0" w:space="0" w:color="auto"/>
        <w:bottom w:val="none" w:sz="0" w:space="0" w:color="auto"/>
        <w:right w:val="none" w:sz="0" w:space="0" w:color="auto"/>
      </w:divBdr>
    </w:div>
    <w:div w:id="614948234">
      <w:bodyDiv w:val="1"/>
      <w:marLeft w:val="0"/>
      <w:marRight w:val="0"/>
      <w:marTop w:val="0"/>
      <w:marBottom w:val="0"/>
      <w:divBdr>
        <w:top w:val="none" w:sz="0" w:space="0" w:color="auto"/>
        <w:left w:val="none" w:sz="0" w:space="0" w:color="auto"/>
        <w:bottom w:val="none" w:sz="0" w:space="0" w:color="auto"/>
        <w:right w:val="none" w:sz="0" w:space="0" w:color="auto"/>
      </w:divBdr>
    </w:div>
    <w:div w:id="703604920">
      <w:bodyDiv w:val="1"/>
      <w:marLeft w:val="0"/>
      <w:marRight w:val="0"/>
      <w:marTop w:val="0"/>
      <w:marBottom w:val="0"/>
      <w:divBdr>
        <w:top w:val="none" w:sz="0" w:space="0" w:color="auto"/>
        <w:left w:val="none" w:sz="0" w:space="0" w:color="auto"/>
        <w:bottom w:val="none" w:sz="0" w:space="0" w:color="auto"/>
        <w:right w:val="none" w:sz="0" w:space="0" w:color="auto"/>
      </w:divBdr>
    </w:div>
    <w:div w:id="866523502">
      <w:bodyDiv w:val="1"/>
      <w:marLeft w:val="0"/>
      <w:marRight w:val="0"/>
      <w:marTop w:val="0"/>
      <w:marBottom w:val="0"/>
      <w:divBdr>
        <w:top w:val="none" w:sz="0" w:space="0" w:color="auto"/>
        <w:left w:val="none" w:sz="0" w:space="0" w:color="auto"/>
        <w:bottom w:val="none" w:sz="0" w:space="0" w:color="auto"/>
        <w:right w:val="none" w:sz="0" w:space="0" w:color="auto"/>
      </w:divBdr>
    </w:div>
    <w:div w:id="2063401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222</Words>
  <Characters>1268</Characters>
  <Application>Microsoft Office Word</Application>
  <DocSecurity>0</DocSecurity>
  <Lines>10</Lines>
  <Paragraphs>2</Paragraphs>
  <ScaleCrop>false</ScaleCrop>
  <Company>Fidelity Investments</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Muggeridge, Jacqueline</dc:creator>
  <cp:keywords/>
  <dc:description/>
  <cp:lastModifiedBy>Andujo- Galaviz, Monica</cp:lastModifiedBy>
  <cp:revision>2</cp:revision>
  <dcterms:created xsi:type="dcterms:W3CDTF">2025-08-01T20:48:00Z</dcterms:created>
  <dcterms:modified xsi:type="dcterms:W3CDTF">2025-08-01T20:48:00Z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76ef6aa,24725dd5,6023e69</vt:lpwstr>
  </property>
  <property fmtid="{D5CDD505-2E9C-101B-9397-08002B2CF9AE}" pid="3" name="ClassificationContentMarkingFooterFontProps">
    <vt:lpwstr>#000000,10,Calibri</vt:lpwstr>
  </property>
  <property fmtid="{D5CDD505-2E9C-101B-9397-08002B2CF9AE}" pid="4" name="ClassificationContentMarkingFooterText">
    <vt:lpwstr>Fidelity Internal Information</vt:lpwstr>
  </property>
  <property fmtid="{D5CDD505-2E9C-101B-9397-08002B2CF9AE}" pid="5" name="MSIP_Label_03b2c423-eb5a-467c-866f-c54b6721c0c4_Enabled">
    <vt:lpwstr>true</vt:lpwstr>
  </property>
  <property fmtid="{D5CDD505-2E9C-101B-9397-08002B2CF9AE}" pid="6" name="MSIP_Label_03b2c423-eb5a-467c-866f-c54b6721c0c4_SetDate">
    <vt:lpwstr>2025-07-30T14:54:44Z</vt:lpwstr>
  </property>
  <property fmtid="{D5CDD505-2E9C-101B-9397-08002B2CF9AE}" pid="7" name="MSIP_Label_03b2c423-eb5a-467c-866f-c54b6721c0c4_Method">
    <vt:lpwstr>Privileged</vt:lpwstr>
  </property>
  <property fmtid="{D5CDD505-2E9C-101B-9397-08002B2CF9AE}" pid="8" name="MSIP_Label_03b2c423-eb5a-467c-866f-c54b6721c0c4_Name">
    <vt:lpwstr>Fidelity Internal</vt:lpwstr>
  </property>
  <property fmtid="{D5CDD505-2E9C-101B-9397-08002B2CF9AE}" pid="9" name="MSIP_Label_03b2c423-eb5a-467c-866f-c54b6721c0c4_SiteId">
    <vt:lpwstr>7521acbc-a68c-41e5-a975-1cf83066dd19</vt:lpwstr>
  </property>
  <property fmtid="{D5CDD505-2E9C-101B-9397-08002B2CF9AE}" pid="10" name="MSIP_Label_03b2c423-eb5a-467c-866f-c54b6721c0c4_ActionId">
    <vt:lpwstr>6a226491-435f-46fa-8d7a-7d1b4a76643b</vt:lpwstr>
  </property>
  <property fmtid="{D5CDD505-2E9C-101B-9397-08002B2CF9AE}" pid="11" name="MSIP_Label_03b2c423-eb5a-467c-866f-c54b6721c0c4_ContentBits">
    <vt:lpwstr>2</vt:lpwstr>
  </property>
  <property fmtid="{D5CDD505-2E9C-101B-9397-08002B2CF9AE}" pid="12" name="MSIP_Label_03b2c423-eb5a-467c-866f-c54b6721c0c4_Tag">
    <vt:lpwstr>10, 0, 1, 1</vt:lpwstr>
  </property>
</Properties>
</file>